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rPr>
          <w:rFonts w:hint="eastAsia" w:hAnsi="Calibri" w:cs="Times New Roman"/>
          <w:szCs w:val="44"/>
          <w:lang w:val="en-US" w:eastAsia="zh-CN"/>
        </w:rPr>
      </w:pPr>
      <w:r>
        <w:rPr>
          <w:rFonts w:hint="eastAsia" w:hAnsi="Calibri" w:cs="Times New Roman"/>
          <w:szCs w:val="44"/>
          <w:lang w:val="en-US" w:eastAsia="zh-CN"/>
        </w:rPr>
        <w:t>保障性住房的实施模式</w:t>
      </w:r>
    </w:p>
    <w:p>
      <w:pPr>
        <w:pStyle w:val="6"/>
        <w:widowControl/>
        <w:spacing w:beforeAutospacing="0" w:afterAutospacing="0" w:line="360" w:lineRule="auto"/>
        <w:ind w:firstLine="640" w:firstLineChars="200"/>
        <w:rPr>
          <w:rFonts w:hint="eastAsia" w:ascii="仿宋_GB2312" w:hAnsi="仿宋" w:eastAsia="仿宋_GB2312"/>
          <w:kern w:val="2"/>
          <w:sz w:val="32"/>
          <w:szCs w:val="32"/>
        </w:rPr>
      </w:pPr>
    </w:p>
    <w:p>
      <w:pPr>
        <w:pStyle w:val="6"/>
        <w:widowControl/>
        <w:numPr>
          <w:ilvl w:val="0"/>
          <w:numId w:val="0"/>
        </w:numPr>
        <w:spacing w:beforeAutospacing="0" w:afterAutospacing="0" w:line="360" w:lineRule="auto"/>
        <w:ind w:firstLine="640" w:firstLineChars="200"/>
        <w:rPr>
          <w:rFonts w:hint="eastAsia" w:ascii="仿宋_GB2312" w:hAnsi="仿宋" w:eastAsia="仿宋_GB2312"/>
          <w:kern w:val="2"/>
          <w:sz w:val="32"/>
          <w:szCs w:val="32"/>
        </w:rPr>
      </w:pPr>
      <w:r>
        <w:rPr>
          <w:rFonts w:hint="eastAsia" w:ascii="仿宋_GB2312" w:hAnsi="仿宋" w:eastAsia="仿宋_GB2312"/>
          <w:kern w:val="2"/>
          <w:sz w:val="32"/>
          <w:szCs w:val="32"/>
        </w:rPr>
        <w:t>《关于规划建设保障性住房的指导意见》（国发〔2023〕14号文）在8月25日经由国务院常务会议审议通过，被市场推崇为新一轮“房改”，主要目的在于促进房地产市场平稳健康发展和民生改善，加快商品住房供给侧结构性改革，建立刚需和改善等多层次差异化的住房供应体系，坚持“房住不炒”定位，回归商品房作为居住功能的核心属性。</w:t>
      </w:r>
    </w:p>
    <w:p>
      <w:pPr>
        <w:pStyle w:val="6"/>
        <w:widowControl/>
        <w:numPr>
          <w:ilvl w:val="0"/>
          <w:numId w:val="0"/>
        </w:numPr>
        <w:spacing w:beforeAutospacing="0" w:afterAutospacing="0" w:line="360" w:lineRule="auto"/>
        <w:ind w:firstLine="640" w:firstLineChars="200"/>
        <w:rPr>
          <w:rFonts w:hint="eastAsia" w:ascii="仿宋_GB2312" w:hAnsi="仿宋" w:eastAsia="仿宋_GB2312"/>
          <w:kern w:val="2"/>
          <w:sz w:val="32"/>
          <w:szCs w:val="32"/>
          <w:lang w:val="en-US" w:eastAsia="zh-CN"/>
        </w:rPr>
      </w:pPr>
      <w:r>
        <w:rPr>
          <w:rFonts w:hint="default" w:ascii="仿宋_GB2312" w:hAnsi="仿宋" w:eastAsia="仿宋_GB2312"/>
          <w:kern w:val="2"/>
          <w:sz w:val="32"/>
          <w:szCs w:val="32"/>
        </w:rPr>
        <w:t>今年以来，保障性住房被多次提及。4月28日，中央政治局会议明确，规划建设保障性住房。7月24日，中央政治局会议明确要加大保障性住房建设和供给，积极推动城中村改造和“平急两用”公共基础设施建设，盘活改造各类闲置房产。7月21日国务院常务会议，审议通过《关于在超大特大城市积极稳步推进城中村改造的指导意见》，把城中村改造与保障性住房建设结合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rPr>
          <w:rFonts w:ascii="PingFang SC" w:hAnsi="PingFang SC" w:eastAsia="PingFang SC" w:cs="PingFang SC"/>
          <w:b/>
          <w:bCs/>
          <w:color w:val="203D63"/>
          <w:sz w:val="58"/>
          <w:szCs w:val="58"/>
        </w:rPr>
      </w:pPr>
      <w:r>
        <w:rPr>
          <w:rFonts w:hint="default" w:ascii="PingFang SC" w:hAnsi="PingFang SC" w:eastAsia="PingFang SC" w:cs="PingFang SC"/>
          <w:b/>
          <w:bCs/>
          <w:color w:val="203D63"/>
          <w:sz w:val="60"/>
          <w:szCs w:val="60"/>
          <w:bdr w:val="none" w:color="auto" w:sz="0" w:space="0"/>
        </w:rPr>
        <w:t>01 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rFonts w:hint="default" w:ascii="PingFang SC" w:hAnsi="PingFang SC" w:eastAsia="PingFang SC" w:cs="PingFang SC"/>
          <w:b/>
          <w:bCs/>
          <w:color w:val="CE3F3D"/>
          <w:sz w:val="24"/>
          <w:szCs w:val="24"/>
        </w:rPr>
      </w:pPr>
      <w:r>
        <w:rPr>
          <w:rFonts w:hint="default" w:ascii="PingFang SC" w:hAnsi="PingFang SC" w:eastAsia="PingFang SC" w:cs="PingFang SC"/>
          <w:b/>
          <w:bCs/>
          <w:color w:val="CE3F3D"/>
          <w:sz w:val="30"/>
          <w:szCs w:val="30"/>
          <w:bdr w:val="none" w:color="auto" w:sz="0" w:space="0"/>
        </w:rPr>
        <w:t>保障性住房的边界条件和要求</w:t>
      </w:r>
    </w:p>
    <w:p>
      <w:pPr>
        <w:pStyle w:val="6"/>
        <w:widowControl/>
        <w:numPr>
          <w:ilvl w:val="0"/>
          <w:numId w:val="0"/>
        </w:numPr>
        <w:spacing w:beforeAutospacing="0" w:afterAutospacing="0" w:line="360" w:lineRule="auto"/>
        <w:ind w:firstLine="640" w:firstLineChars="200"/>
        <w:rPr>
          <w:rFonts w:hint="default" w:ascii="仿宋_GB2312" w:hAnsi="仿宋" w:eastAsia="仿宋_GB2312"/>
          <w:kern w:val="2"/>
          <w:sz w:val="32"/>
          <w:szCs w:val="32"/>
        </w:rPr>
      </w:pPr>
      <w:r>
        <w:rPr>
          <w:rFonts w:hint="eastAsia" w:ascii="黑体" w:hAnsi="黑体" w:eastAsia="黑体" w:cs="Times New Roman"/>
          <w:kern w:val="2"/>
          <w:sz w:val="32"/>
          <w:szCs w:val="32"/>
          <w:lang w:val="en-US" w:eastAsia="zh-CN" w:bidi="ar-SA"/>
        </w:rPr>
        <w:t>一、保障性住房的定义</w:t>
      </w:r>
      <w:r>
        <w:rPr>
          <w:rFonts w:hint="eastAsia" w:ascii="黑体" w:hAnsi="黑体" w:eastAsia="黑体" w:cs="Times New Roman"/>
          <w:kern w:val="2"/>
          <w:sz w:val="32"/>
          <w:szCs w:val="32"/>
          <w:lang w:val="en-US" w:eastAsia="zh-CN" w:bidi="ar-SA"/>
        </w:rPr>
        <w:br w:type="textWrapping"/>
      </w:r>
      <w:r>
        <w:rPr>
          <w:rFonts w:hint="default" w:ascii="Arial" w:hAnsi="Arial" w:eastAsia="宋体" w:cs="Arial"/>
          <w:sz w:val="25"/>
          <w:szCs w:val="25"/>
          <w:bdr w:val="none" w:color="auto" w:sz="0" w:space="0"/>
        </w:rPr>
        <w:t>    </w:t>
      </w:r>
      <w:r>
        <w:rPr>
          <w:rFonts w:hint="default" w:ascii="Arial" w:hAnsi="Arial" w:eastAsia="宋体" w:cs="Arial"/>
          <w:color w:val="000000"/>
          <w:spacing w:val="8"/>
          <w:sz w:val="25"/>
          <w:szCs w:val="25"/>
          <w:bdr w:val="none" w:color="auto" w:sz="0" w:space="0"/>
        </w:rPr>
        <w:t> </w:t>
      </w:r>
      <w:r>
        <w:rPr>
          <w:rFonts w:hint="default" w:ascii="仿宋_GB2312" w:hAnsi="仿宋" w:eastAsia="仿宋_GB2312"/>
          <w:kern w:val="2"/>
          <w:sz w:val="32"/>
          <w:szCs w:val="32"/>
        </w:rPr>
        <w:t>（笔者结合相关政策总结）保障性住房是指按照工薪收入群体可负担、项目资金可平衡、发展可持续的原则，由城市人民政府按划拨方式供地或者运用存量土地和资产建设或改扩建居住房屋，负责建设配套设施，在此基础上采取市场化方式运作，按保本微利原则配售，保障特定群体的居住需求，构建区别于传统商品房的新型住房供应体系。</w:t>
      </w:r>
    </w:p>
    <w:p>
      <w:pPr>
        <w:pStyle w:val="6"/>
        <w:widowControl/>
        <w:numPr>
          <w:ilvl w:val="0"/>
          <w:numId w:val="0"/>
        </w:numPr>
        <w:spacing w:beforeAutospacing="0" w:afterAutospacing="0" w:line="360" w:lineRule="auto"/>
        <w:ind w:firstLine="640" w:firstLineChars="200"/>
        <w:rPr>
          <w:rFonts w:hint="default" w:ascii="黑体" w:hAnsi="黑体" w:eastAsia="黑体" w:cs="Times New Roman"/>
          <w:kern w:val="2"/>
          <w:sz w:val="32"/>
          <w:szCs w:val="32"/>
          <w:lang w:val="en-US" w:eastAsia="zh-CN" w:bidi="ar-SA"/>
        </w:rPr>
      </w:pPr>
      <w:r>
        <w:rPr>
          <w:rFonts w:hint="default" w:ascii="黑体" w:hAnsi="黑体" w:eastAsia="黑体" w:cs="Times New Roman"/>
          <w:kern w:val="2"/>
          <w:sz w:val="32"/>
          <w:szCs w:val="32"/>
          <w:lang w:val="en-US" w:eastAsia="zh-CN" w:bidi="ar-SA"/>
        </w:rPr>
        <w:t>二、保障性住房针对的对象和范围</w:t>
      </w:r>
    </w:p>
    <w:p>
      <w:pPr>
        <w:pStyle w:val="6"/>
        <w:widowControl/>
        <w:numPr>
          <w:ilvl w:val="0"/>
          <w:numId w:val="0"/>
        </w:numPr>
        <w:spacing w:beforeAutospacing="0" w:afterAutospacing="0" w:line="360" w:lineRule="auto"/>
        <w:ind w:firstLine="640" w:firstLineChars="200"/>
        <w:rPr>
          <w:rFonts w:hint="default" w:ascii="仿宋_GB2312" w:hAnsi="仿宋" w:eastAsia="仿宋_GB2312"/>
          <w:kern w:val="2"/>
          <w:sz w:val="32"/>
          <w:szCs w:val="32"/>
        </w:rPr>
      </w:pPr>
      <w:r>
        <w:rPr>
          <w:rFonts w:hint="default" w:ascii="仿宋_GB2312" w:hAnsi="仿宋" w:eastAsia="仿宋_GB2312"/>
          <w:kern w:val="2"/>
          <w:sz w:val="32"/>
          <w:szCs w:val="32"/>
        </w:rPr>
        <w:t>支持城区常住人口300万以上的大城市率先探索实践。保障性住房重点针对住房有困难且收入不高的工薪收入群体，以及城市需要的引进人才等群体，主要包括城镇户籍家庭、机关事业单位人员、企业引进人才等不同群体。以家庭为单位，只能购买一套。</w:t>
      </w:r>
    </w:p>
    <w:p>
      <w:pPr>
        <w:pStyle w:val="6"/>
        <w:widowControl/>
        <w:numPr>
          <w:ilvl w:val="0"/>
          <w:numId w:val="0"/>
        </w:numPr>
        <w:spacing w:beforeAutospacing="0" w:afterAutospacing="0" w:line="360" w:lineRule="auto"/>
        <w:ind w:firstLine="640" w:firstLineChars="200"/>
        <w:rPr>
          <w:rFonts w:hint="default" w:ascii="黑体" w:hAnsi="黑体" w:eastAsia="黑体" w:cs="Times New Roman"/>
          <w:kern w:val="2"/>
          <w:sz w:val="32"/>
          <w:szCs w:val="32"/>
          <w:lang w:val="en-US" w:eastAsia="zh-CN" w:bidi="ar-SA"/>
        </w:rPr>
      </w:pPr>
      <w:r>
        <w:rPr>
          <w:rFonts w:hint="default" w:ascii="黑体" w:hAnsi="黑体" w:eastAsia="黑体" w:cs="Times New Roman"/>
          <w:kern w:val="2"/>
          <w:sz w:val="32"/>
          <w:szCs w:val="32"/>
          <w:lang w:val="en-US" w:eastAsia="zh-CN" w:bidi="ar-SA"/>
        </w:rPr>
        <w:t>三、保障性住房的建设方式</w:t>
      </w:r>
    </w:p>
    <w:p>
      <w:pPr>
        <w:pStyle w:val="6"/>
        <w:widowControl/>
        <w:numPr>
          <w:ilvl w:val="0"/>
          <w:numId w:val="0"/>
        </w:numPr>
        <w:spacing w:beforeAutospacing="0" w:afterAutospacing="0" w:line="360" w:lineRule="auto"/>
        <w:ind w:firstLine="640" w:firstLineChars="200"/>
        <w:rPr>
          <w:rFonts w:hint="default" w:ascii="仿宋_GB2312" w:hAnsi="仿宋" w:eastAsia="仿宋_GB2312"/>
          <w:kern w:val="2"/>
          <w:sz w:val="32"/>
          <w:szCs w:val="32"/>
        </w:rPr>
      </w:pPr>
      <w:r>
        <w:rPr>
          <w:rFonts w:hint="default" w:ascii="仿宋_GB2312" w:hAnsi="仿宋" w:eastAsia="仿宋_GB2312"/>
          <w:kern w:val="2"/>
          <w:sz w:val="32"/>
          <w:szCs w:val="32"/>
        </w:rPr>
        <w:t>将保障性住房建设与城中村改造、城市更新、危旧房改造等工作结合起来稳妥推进。保障性住房以划拨方式供应土地，仅支付相应的土地成本。除划拨外，可以利用依法收回的已批未建土地，房地产企业破产处置商品住房和土地，闲置住房，闲置低效工业、商业、办公等非住宅用地（变更用途、无需补缴土地出让金、原划拨地继续保留）等建设保障性住房。政府负责建设与保障性住房项目直接相关的城市道路和公共交通、通信、供电、供水、供气、供热、污水与垃圾处理等市政基础设施，以及教育、医疗卫生、商业、养老、托幼、文化体育等公共服务设施，相关建设投入不得摊入保障性住房配售价格。</w:t>
      </w:r>
    </w:p>
    <w:p>
      <w:pPr>
        <w:pStyle w:val="6"/>
        <w:widowControl/>
        <w:numPr>
          <w:ilvl w:val="0"/>
          <w:numId w:val="0"/>
        </w:numPr>
        <w:spacing w:beforeAutospacing="0" w:afterAutospacing="0" w:line="360" w:lineRule="auto"/>
        <w:ind w:firstLine="640" w:firstLineChars="200"/>
        <w:rPr>
          <w:rFonts w:hint="default" w:ascii="黑体" w:hAnsi="黑体" w:eastAsia="黑体" w:cs="Times New Roman"/>
          <w:kern w:val="2"/>
          <w:sz w:val="32"/>
          <w:szCs w:val="32"/>
          <w:lang w:val="en-US" w:eastAsia="zh-CN" w:bidi="ar-SA"/>
        </w:rPr>
      </w:pPr>
      <w:r>
        <w:rPr>
          <w:rFonts w:hint="default" w:ascii="黑体" w:hAnsi="黑体" w:eastAsia="黑体" w:cs="Times New Roman"/>
          <w:kern w:val="2"/>
          <w:sz w:val="32"/>
          <w:szCs w:val="32"/>
          <w:lang w:val="en-US" w:eastAsia="zh-CN" w:bidi="ar-SA"/>
        </w:rPr>
        <w:t>四、保障性住房配售管理</w:t>
      </w:r>
    </w:p>
    <w:p>
      <w:pPr>
        <w:pStyle w:val="6"/>
        <w:widowControl/>
        <w:numPr>
          <w:ilvl w:val="0"/>
          <w:numId w:val="0"/>
        </w:numPr>
        <w:spacing w:beforeAutospacing="0" w:afterAutospacing="0" w:line="360" w:lineRule="auto"/>
        <w:ind w:firstLine="640" w:firstLineChars="200"/>
        <w:rPr>
          <w:rFonts w:hint="default" w:ascii="仿宋_GB2312" w:hAnsi="仿宋" w:eastAsia="仿宋_GB2312"/>
          <w:kern w:val="2"/>
          <w:sz w:val="32"/>
          <w:szCs w:val="32"/>
        </w:rPr>
      </w:pPr>
      <w:r>
        <w:rPr>
          <w:rFonts w:hint="default" w:ascii="仿宋_GB2312" w:hAnsi="仿宋" w:eastAsia="仿宋_GB2312"/>
          <w:kern w:val="2"/>
          <w:sz w:val="32"/>
          <w:szCs w:val="32"/>
        </w:rPr>
        <w:t>配售价格按覆盖划拨土地成本和建安成本、加适度合理利润的原则测算确定。保障性住房实施封闭管理，禁止以任何方式违法违规将保障性住房变更为商品住房流入市场。长期闲置、确需转让、辞职等情况，由城市人民政府按规定予以回购。</w:t>
      </w:r>
    </w:p>
    <w:p>
      <w:pPr>
        <w:pStyle w:val="6"/>
        <w:widowControl/>
        <w:numPr>
          <w:ilvl w:val="0"/>
          <w:numId w:val="0"/>
        </w:numPr>
        <w:spacing w:beforeAutospacing="0" w:afterAutospacing="0" w:line="360" w:lineRule="auto"/>
        <w:ind w:firstLine="640" w:firstLineChars="200"/>
        <w:rPr>
          <w:rFonts w:hint="default" w:ascii="黑体" w:hAnsi="黑体" w:eastAsia="黑体" w:cs="Times New Roman"/>
          <w:kern w:val="2"/>
          <w:sz w:val="32"/>
          <w:szCs w:val="32"/>
          <w:lang w:val="en-US" w:eastAsia="zh-CN" w:bidi="ar-SA"/>
        </w:rPr>
      </w:pPr>
      <w:r>
        <w:rPr>
          <w:rFonts w:hint="default" w:ascii="黑体" w:hAnsi="黑体" w:eastAsia="黑体" w:cs="Times New Roman"/>
          <w:kern w:val="2"/>
          <w:sz w:val="32"/>
          <w:szCs w:val="32"/>
          <w:lang w:val="en-US" w:eastAsia="zh-CN" w:bidi="ar-SA"/>
        </w:rPr>
        <w:t>五、相关支持政策</w:t>
      </w:r>
    </w:p>
    <w:p>
      <w:pPr>
        <w:pStyle w:val="6"/>
        <w:widowControl/>
        <w:numPr>
          <w:ilvl w:val="0"/>
          <w:numId w:val="0"/>
        </w:numPr>
        <w:spacing w:beforeAutospacing="0" w:afterAutospacing="0" w:line="360" w:lineRule="auto"/>
        <w:ind w:firstLine="640" w:firstLineChars="200"/>
        <w:rPr>
          <w:rFonts w:hint="default" w:ascii="仿宋_GB2312" w:hAnsi="仿宋" w:eastAsia="仿宋_GB2312"/>
          <w:kern w:val="2"/>
          <w:sz w:val="32"/>
          <w:szCs w:val="32"/>
        </w:rPr>
      </w:pPr>
      <w:r>
        <w:rPr>
          <w:rFonts w:hint="default" w:ascii="仿宋_GB2312" w:hAnsi="仿宋" w:eastAsia="仿宋_GB2312"/>
          <w:kern w:val="2"/>
          <w:sz w:val="32"/>
          <w:szCs w:val="32"/>
        </w:rPr>
        <w:t>纳入地方政府专项债券支持范围。支持利用住房公积金向缴存职工发放购买保障性住房的个人住房贷款。利用住房公积金发放保障性住房开发贷款。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rPr>
          <w:rFonts w:ascii="PingFang SC" w:hAnsi="PingFang SC" w:eastAsia="PingFang SC" w:cs="PingFang SC"/>
          <w:b/>
          <w:bCs/>
          <w:color w:val="203D63"/>
          <w:sz w:val="58"/>
          <w:szCs w:val="58"/>
        </w:rPr>
      </w:pPr>
      <w:r>
        <w:rPr>
          <w:rFonts w:hint="default" w:ascii="PingFang SC" w:hAnsi="PingFang SC" w:eastAsia="PingFang SC" w:cs="PingFang SC"/>
          <w:b/>
          <w:bCs/>
          <w:color w:val="203D63"/>
          <w:sz w:val="60"/>
          <w:szCs w:val="60"/>
          <w:bdr w:val="none" w:color="auto" w:sz="0" w:space="0"/>
        </w:rPr>
        <w:t>02 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rFonts w:hint="default" w:ascii="PingFang SC" w:hAnsi="PingFang SC" w:eastAsia="PingFang SC" w:cs="PingFang SC"/>
          <w:b/>
          <w:bCs/>
          <w:color w:val="CE3F3D"/>
          <w:sz w:val="24"/>
          <w:szCs w:val="24"/>
        </w:rPr>
      </w:pPr>
      <w:r>
        <w:rPr>
          <w:rFonts w:hint="default" w:ascii="PingFang SC" w:hAnsi="PingFang SC" w:eastAsia="PingFang SC" w:cs="PingFang SC"/>
          <w:b/>
          <w:bCs/>
          <w:color w:val="CE3F3D"/>
          <w:sz w:val="30"/>
          <w:szCs w:val="30"/>
          <w:bdr w:val="none" w:color="auto" w:sz="0" w:space="0"/>
        </w:rPr>
        <w:t>保障性住房与其他住房产品的区别联系</w:t>
      </w:r>
    </w:p>
    <w:p>
      <w:pPr>
        <w:pStyle w:val="6"/>
        <w:widowControl/>
        <w:numPr>
          <w:ilvl w:val="0"/>
          <w:numId w:val="0"/>
        </w:numPr>
        <w:spacing w:beforeAutospacing="0" w:afterAutospacing="0" w:line="360" w:lineRule="auto"/>
        <w:ind w:left="319" w:leftChars="152" w:firstLine="320" w:firstLineChars="100"/>
        <w:rPr>
          <w:rFonts w:hint="default" w:ascii="黑体" w:hAnsi="黑体" w:eastAsia="黑体" w:cs="Times New Roman"/>
          <w:kern w:val="2"/>
          <w:sz w:val="32"/>
          <w:szCs w:val="32"/>
          <w:lang w:val="en-US" w:eastAsia="zh-CN" w:bidi="ar-SA"/>
        </w:rPr>
      </w:pPr>
      <w:r>
        <w:rPr>
          <w:rFonts w:hint="default" w:ascii="黑体" w:hAnsi="黑体" w:eastAsia="黑体" w:cs="Times New Roman"/>
          <w:kern w:val="2"/>
          <w:sz w:val="32"/>
          <w:szCs w:val="32"/>
          <w:lang w:val="en-US" w:eastAsia="zh-CN" w:bidi="ar-SA"/>
        </w:rPr>
        <w:t>一、我国现行的保障住房体系</w:t>
      </w:r>
    </w:p>
    <w:p>
      <w:pPr>
        <w:pStyle w:val="6"/>
        <w:widowControl/>
        <w:numPr>
          <w:ilvl w:val="0"/>
          <w:numId w:val="0"/>
        </w:numPr>
        <w:spacing w:beforeAutospacing="0" w:afterAutospacing="0" w:line="360" w:lineRule="auto"/>
        <w:ind w:firstLine="640" w:firstLineChars="200"/>
        <w:rPr>
          <w:rFonts w:hint="default" w:ascii="仿宋_GB2312" w:hAnsi="仿宋" w:eastAsia="仿宋_GB2312"/>
          <w:kern w:val="2"/>
          <w:sz w:val="32"/>
          <w:szCs w:val="32"/>
        </w:rPr>
      </w:pPr>
      <w:r>
        <w:rPr>
          <w:rFonts w:hint="default" w:ascii="仿宋_GB2312" w:hAnsi="仿宋" w:eastAsia="仿宋_GB2312"/>
          <w:kern w:val="2"/>
          <w:sz w:val="32"/>
          <w:szCs w:val="32"/>
        </w:rPr>
        <w:t>在本次保障性住房政策未发布之前，我们国家住房保障体系以公租房、保障性租赁住房和共有产权住房为主。其中：公租房主要面向符合条件的城镇户籍住房、收入困难家庭，实行实物保障和货币补贴并举。《国务院办公厅关于保障性安居工程建设和管理的指导意见》（国办发〔2011〕45号）规定，“要加大政府投资建设力度，综合运用土地供应等政策措施，吸引企业和其他机构参与公共租赁住房建设和运营，多渠道增加公共租赁住房供应。政府投资的公共租赁住房项目可以委托企业代建，市县人民政府逐年回购”。保障性租赁住房主要解决符合条件的新市民、青年人等群体的住房困难问题，充分发挥市场机制作用，引导多主体投资、多渠道供给，坚持“谁投资、谁所有”。共有产权住房主要面向符合条件的城镇户籍困难家庭，坚持政府主导、市场运作，政府给予适当政策支持，企业和其他机构投资建设，实行购房人与政府按份共有所有权。按照保障性住房政策，现阶段我们国家保障住房体系主要包括：配售型保障性住房。内容和范围如上文所述。配租房保障性住房（即保障性租赁住房）。主要针对符合条件的新市民、青年人特别是从事基本公共服务的机关事业单位和企业人员，鼓励将空置的商业办公楼改建为宿舍型保障性租赁住房。公共租赁住房。主要针对符合条件的城镇住房收入困难家庭，承租人按市场租金标准支付租金，政府根据承租人的困难程度给予相应的租金补助。人才住房和共有产权房将成立历史。用于销售的人才住房、共有产权住房等政策性住房的新建项目将调整为配售型保障性住房或商品住房。</w:t>
      </w:r>
    </w:p>
    <w:p>
      <w:pPr>
        <w:pStyle w:val="6"/>
        <w:widowControl/>
        <w:numPr>
          <w:ilvl w:val="0"/>
          <w:numId w:val="0"/>
        </w:numPr>
        <w:spacing w:beforeAutospacing="0" w:afterAutospacing="0" w:line="360" w:lineRule="auto"/>
        <w:ind w:left="319" w:leftChars="152" w:firstLine="320" w:firstLineChars="100"/>
        <w:rPr>
          <w:rFonts w:hint="default" w:ascii="黑体" w:hAnsi="黑体" w:eastAsia="黑体" w:cs="Times New Roman"/>
          <w:kern w:val="2"/>
          <w:sz w:val="32"/>
          <w:szCs w:val="32"/>
          <w:lang w:val="en-US" w:eastAsia="zh-CN" w:bidi="ar-SA"/>
        </w:rPr>
      </w:pPr>
      <w:r>
        <w:rPr>
          <w:rFonts w:hint="default" w:ascii="黑体" w:hAnsi="黑体" w:eastAsia="黑体" w:cs="Times New Roman"/>
          <w:kern w:val="2"/>
          <w:sz w:val="32"/>
          <w:szCs w:val="32"/>
          <w:lang w:val="en-US" w:eastAsia="zh-CN" w:bidi="ar-SA"/>
        </w:rPr>
        <w:t>二、长租房与保障性租赁的区别联系</w:t>
      </w:r>
    </w:p>
    <w:p>
      <w:pPr>
        <w:pStyle w:val="6"/>
        <w:widowControl/>
        <w:numPr>
          <w:ilvl w:val="0"/>
          <w:numId w:val="0"/>
        </w:numPr>
        <w:spacing w:beforeAutospacing="0" w:afterAutospacing="0" w:line="360" w:lineRule="auto"/>
        <w:ind w:firstLine="640" w:firstLineChars="200"/>
        <w:rPr>
          <w:rFonts w:hint="default" w:ascii="仿宋_GB2312" w:hAnsi="仿宋" w:eastAsia="仿宋_GB2312"/>
          <w:kern w:val="2"/>
          <w:sz w:val="32"/>
          <w:szCs w:val="32"/>
        </w:rPr>
      </w:pPr>
      <w:r>
        <w:rPr>
          <w:rFonts w:hint="default" w:ascii="仿宋_GB2312" w:hAnsi="仿宋" w:eastAsia="仿宋_GB2312"/>
          <w:kern w:val="2"/>
          <w:sz w:val="32"/>
          <w:szCs w:val="32"/>
        </w:rPr>
        <w:t>长租房俗称"长租公寓"，是房地产三级市场一个新兴的行业，是指房地产开发运营企业通过开发运营、资产托管、运营服务以及代建运营等方式，自行开发或者租赁存量房屋进行装修改造和升级，再出租给市场化主体，产权归属于开发商或原始权利人，租户拥有长期使用权等用益物权。</w:t>
      </w:r>
    </w:p>
    <w:p>
      <w:pPr>
        <w:pStyle w:val="6"/>
        <w:widowControl/>
        <w:numPr>
          <w:ilvl w:val="0"/>
          <w:numId w:val="0"/>
        </w:numPr>
        <w:spacing w:beforeAutospacing="0" w:afterAutospacing="0" w:line="360" w:lineRule="auto"/>
        <w:ind w:firstLine="640" w:firstLineChars="200"/>
        <w:rPr>
          <w:rFonts w:hint="default" w:ascii="仿宋_GB2312" w:hAnsi="仿宋" w:eastAsia="仿宋_GB2312"/>
          <w:kern w:val="2"/>
          <w:sz w:val="32"/>
          <w:szCs w:val="32"/>
        </w:rPr>
      </w:pPr>
      <w:r>
        <w:rPr>
          <w:rFonts w:hint="default" w:ascii="仿宋_GB2312" w:hAnsi="仿宋" w:eastAsia="仿宋_GB2312"/>
          <w:kern w:val="2"/>
          <w:sz w:val="32"/>
          <w:szCs w:val="32"/>
        </w:rPr>
        <w:t>1. 增加保障性租赁住房供给和长租房市场建设，都是为了满足新市民、青年人更好安居的需求，同时，具备与购买商品房业主公平的享有教育、医疗和公共配套设施权利和资格。</w:t>
      </w:r>
    </w:p>
    <w:p>
      <w:pPr>
        <w:pStyle w:val="6"/>
        <w:widowControl/>
        <w:numPr>
          <w:ilvl w:val="0"/>
          <w:numId w:val="0"/>
        </w:numPr>
        <w:spacing w:beforeAutospacing="0" w:afterAutospacing="0" w:line="360" w:lineRule="auto"/>
        <w:ind w:firstLine="640" w:firstLineChars="200"/>
        <w:rPr>
          <w:rFonts w:hint="default" w:ascii="仿宋_GB2312" w:hAnsi="仿宋" w:eastAsia="仿宋_GB2312"/>
          <w:kern w:val="2"/>
          <w:sz w:val="32"/>
          <w:szCs w:val="32"/>
        </w:rPr>
      </w:pPr>
      <w:r>
        <w:rPr>
          <w:rFonts w:hint="default" w:ascii="仿宋_GB2312" w:hAnsi="仿宋" w:eastAsia="仿宋_GB2312"/>
          <w:kern w:val="2"/>
          <w:sz w:val="32"/>
          <w:szCs w:val="32"/>
        </w:rPr>
        <w:t>2. 保障性租赁住房土地可采取出让、租赁或划拨等方式供应，具备较强的公益属性和社会化责任，只有具备一定资格的低收入群体才能享有；长租房土地以出让和市场化为主，土地获取方式主要是出让，主要通过市场化交易实现供需平衡。</w:t>
      </w:r>
    </w:p>
    <w:p>
      <w:pPr>
        <w:pStyle w:val="6"/>
        <w:widowControl/>
        <w:numPr>
          <w:ilvl w:val="0"/>
          <w:numId w:val="0"/>
        </w:numPr>
        <w:spacing w:beforeAutospacing="0" w:afterAutospacing="0" w:line="360" w:lineRule="auto"/>
        <w:ind w:firstLine="640" w:firstLineChars="200"/>
        <w:rPr>
          <w:rFonts w:hint="default" w:ascii="仿宋_GB2312" w:hAnsi="仿宋" w:eastAsia="仿宋_GB2312"/>
          <w:kern w:val="2"/>
          <w:sz w:val="32"/>
          <w:szCs w:val="32"/>
        </w:rPr>
      </w:pPr>
      <w:r>
        <w:rPr>
          <w:rFonts w:hint="default" w:ascii="仿宋_GB2312" w:hAnsi="仿宋" w:eastAsia="仿宋_GB2312"/>
          <w:kern w:val="2"/>
          <w:sz w:val="32"/>
          <w:szCs w:val="32"/>
        </w:rPr>
        <w:t>3. 保障性租赁住房和长租房共同作为商品房市场和配售型保障性住房的补充，可以有效解决新市民和低收入群体的刚性住房需求，有助于推进新型城镇化和实体产业的发展，有助于抑制房地产市场盲目增长。</w:t>
      </w:r>
      <w:r>
        <w:rPr>
          <w:rFonts w:hint="default" w:ascii="仿宋_GB2312" w:hAnsi="仿宋" w:eastAsia="仿宋_GB2312"/>
          <w:kern w:val="2"/>
          <w:sz w:val="32"/>
          <w:szCs w:val="32"/>
        </w:rPr>
        <w:br w:type="textWrapping"/>
      </w:r>
      <w:r>
        <w:rPr>
          <w:rFonts w:hint="eastAsia" w:ascii="仿宋_GB2312" w:hAnsi="仿宋" w:eastAsia="仿宋_GB2312"/>
          <w:kern w:val="2"/>
          <w:sz w:val="32"/>
          <w:szCs w:val="32"/>
          <w:lang w:val="en-US" w:eastAsia="zh-CN"/>
        </w:rPr>
        <w:t xml:space="preserve">   </w:t>
      </w:r>
      <w:r>
        <w:rPr>
          <w:rFonts w:hint="default" w:ascii="仿宋_GB2312" w:hAnsi="仿宋" w:eastAsia="仿宋_GB2312"/>
          <w:kern w:val="2"/>
          <w:sz w:val="32"/>
          <w:szCs w:val="32"/>
        </w:rPr>
        <w:t>4. 按照证监会政策导向，进一步扩大REITs试点范围，尽快覆盖到新能源、水利、新基建等基础设施领域，加快打造REITs市场的保障性租赁住房板块，研究推动试点范围拓展到市场化的长租房及商业不动产等领域。即保障性租赁和长租房都具备较强的经营属性，可以实现稳定的现金流，能够通过资产证券化方式实现再融资。</w:t>
      </w:r>
    </w:p>
    <w:p>
      <w:pPr>
        <w:pStyle w:val="6"/>
        <w:widowControl/>
        <w:numPr>
          <w:ilvl w:val="0"/>
          <w:numId w:val="0"/>
        </w:numPr>
        <w:spacing w:beforeAutospacing="0" w:afterAutospacing="0" w:line="360" w:lineRule="auto"/>
        <w:ind w:firstLine="640" w:firstLineChars="200"/>
        <w:rPr>
          <w:rFonts w:hint="default" w:ascii="仿宋_GB2312" w:hAnsi="仿宋" w:eastAsia="仿宋_GB2312"/>
          <w:kern w:val="2"/>
          <w:sz w:val="32"/>
          <w:szCs w:val="32"/>
        </w:rPr>
      </w:pPr>
      <w:r>
        <w:rPr>
          <w:rFonts w:hint="default" w:ascii="仿宋_GB2312" w:hAnsi="仿宋" w:eastAsia="仿宋_GB2312"/>
          <w:kern w:val="2"/>
          <w:sz w:val="32"/>
          <w:szCs w:val="32"/>
        </w:rPr>
        <w:t>综上，未来我们国家的住房销售由配售型保障性住房和商品房构成，住房租赁由保障性租赁住房、公共租赁住房和长租房构成，充分发挥有效市场和有为政府的合力，引导房地产市场向租购并举、居者有屋等多层次结构体系发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rPr>
          <w:rFonts w:ascii="PingFang SC" w:hAnsi="PingFang SC" w:eastAsia="PingFang SC" w:cs="PingFang SC"/>
          <w:b/>
          <w:bCs/>
          <w:color w:val="203D63"/>
          <w:sz w:val="58"/>
          <w:szCs w:val="58"/>
        </w:rPr>
      </w:pPr>
      <w:r>
        <w:rPr>
          <w:rFonts w:hint="default" w:ascii="PingFang SC" w:hAnsi="PingFang SC" w:eastAsia="PingFang SC" w:cs="PingFang SC"/>
          <w:b/>
          <w:bCs/>
          <w:color w:val="203D63"/>
          <w:sz w:val="60"/>
          <w:szCs w:val="60"/>
          <w:bdr w:val="none" w:color="auto" w:sz="0" w:space="0"/>
        </w:rPr>
        <w:t>03 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rFonts w:hint="default" w:ascii="PingFang SC" w:hAnsi="PingFang SC" w:eastAsia="PingFang SC" w:cs="PingFang SC"/>
          <w:b/>
          <w:bCs/>
          <w:color w:val="CE3F3D"/>
          <w:sz w:val="24"/>
          <w:szCs w:val="24"/>
        </w:rPr>
      </w:pPr>
      <w:r>
        <w:rPr>
          <w:rFonts w:hint="default" w:ascii="PingFang SC" w:hAnsi="PingFang SC" w:eastAsia="PingFang SC" w:cs="PingFang SC"/>
          <w:b/>
          <w:bCs/>
          <w:color w:val="CE3F3D"/>
          <w:sz w:val="30"/>
          <w:szCs w:val="30"/>
          <w:bdr w:val="none" w:color="auto" w:sz="0" w:space="0"/>
        </w:rPr>
        <w:t>保障性住房推进的几点思考</w:t>
      </w:r>
    </w:p>
    <w:p>
      <w:pPr>
        <w:pStyle w:val="6"/>
        <w:widowControl/>
        <w:numPr>
          <w:ilvl w:val="0"/>
          <w:numId w:val="0"/>
        </w:numPr>
        <w:spacing w:beforeAutospacing="0" w:afterAutospacing="0" w:line="360" w:lineRule="auto"/>
        <w:ind w:left="319" w:leftChars="152" w:firstLine="320" w:firstLineChars="100"/>
        <w:rPr>
          <w:rFonts w:hint="default" w:ascii="黑体" w:hAnsi="黑体" w:eastAsia="黑体" w:cs="Times New Roman"/>
          <w:kern w:val="2"/>
          <w:sz w:val="32"/>
          <w:szCs w:val="32"/>
          <w:lang w:val="en-US" w:eastAsia="zh-CN" w:bidi="ar-SA"/>
        </w:rPr>
      </w:pPr>
      <w:r>
        <w:rPr>
          <w:rFonts w:hint="default" w:ascii="黑体" w:hAnsi="黑体" w:eastAsia="黑体" w:cs="Times New Roman"/>
          <w:kern w:val="2"/>
          <w:sz w:val="32"/>
          <w:szCs w:val="32"/>
          <w:lang w:val="en-US" w:eastAsia="zh-CN" w:bidi="ar-SA"/>
        </w:rPr>
        <w:t>一、土地及权属方面。</w:t>
      </w:r>
    </w:p>
    <w:p>
      <w:pPr>
        <w:pStyle w:val="6"/>
        <w:widowControl/>
        <w:numPr>
          <w:ilvl w:val="0"/>
          <w:numId w:val="0"/>
        </w:numPr>
        <w:spacing w:beforeAutospacing="0" w:afterAutospacing="0" w:line="360" w:lineRule="auto"/>
        <w:ind w:firstLine="640" w:firstLineChars="200"/>
        <w:rPr>
          <w:rFonts w:hint="default" w:ascii="仿宋_GB2312" w:hAnsi="仿宋" w:eastAsia="仿宋_GB2312"/>
          <w:kern w:val="2"/>
          <w:sz w:val="32"/>
          <w:szCs w:val="32"/>
        </w:rPr>
      </w:pPr>
      <w:r>
        <w:rPr>
          <w:rFonts w:hint="default" w:ascii="仿宋_GB2312" w:hAnsi="仿宋" w:eastAsia="仿宋_GB2312"/>
          <w:kern w:val="2"/>
          <w:sz w:val="32"/>
          <w:szCs w:val="32"/>
        </w:rPr>
        <w:t>采用划拨土地建设配售型保障性住房，需要建立区别于现有商品房的土地房产权属办理的规定和流程，在分层分户、产权分割等方面完善政策配套，在土地使用年限、退出机制、房屋所有权继承等方面出台与现有法律法规相衔接的政策体系。</w:t>
      </w:r>
      <w:r>
        <w:rPr>
          <w:rFonts w:hint="default" w:ascii="仿宋_GB2312" w:hAnsi="仿宋" w:eastAsia="仿宋_GB2312"/>
          <w:kern w:val="2"/>
          <w:sz w:val="32"/>
          <w:szCs w:val="32"/>
        </w:rPr>
        <w:br w:type="textWrapping"/>
      </w:r>
      <w:r>
        <w:rPr>
          <w:rFonts w:hint="eastAsia" w:ascii="Arial" w:hAnsi="Arial" w:eastAsia="宋体" w:cs="Arial"/>
          <w:color w:val="000000"/>
          <w:spacing w:val="8"/>
          <w:sz w:val="25"/>
          <w:szCs w:val="25"/>
          <w:bdr w:val="none" w:color="auto" w:sz="0" w:space="0"/>
          <w:lang w:val="en-US" w:eastAsia="zh-CN"/>
        </w:rPr>
        <w:t xml:space="preserve">   </w:t>
      </w:r>
      <w:r>
        <w:rPr>
          <w:rFonts w:hint="default" w:ascii="黑体" w:hAnsi="黑体" w:eastAsia="黑体" w:cs="Times New Roman"/>
          <w:kern w:val="2"/>
          <w:sz w:val="32"/>
          <w:szCs w:val="32"/>
          <w:lang w:val="en-US" w:eastAsia="zh-CN" w:bidi="ar-SA"/>
        </w:rPr>
        <w:t>二、市场吸引力方面。</w:t>
      </w:r>
      <w:r>
        <w:rPr>
          <w:rFonts w:hint="default" w:ascii="Arial" w:hAnsi="Arial" w:eastAsia="宋体" w:cs="Arial"/>
          <w:color w:val="000000"/>
          <w:spacing w:val="8"/>
          <w:sz w:val="25"/>
          <w:szCs w:val="25"/>
          <w:bdr w:val="none" w:color="auto" w:sz="0" w:space="0"/>
        </w:rPr>
        <w:br w:type="textWrapping"/>
      </w:r>
      <w:r>
        <w:rPr>
          <w:rFonts w:hint="eastAsia" w:ascii="Arial" w:hAnsi="Arial" w:eastAsia="宋体" w:cs="Arial"/>
          <w:color w:val="000000"/>
          <w:spacing w:val="8"/>
          <w:sz w:val="25"/>
          <w:szCs w:val="25"/>
          <w:bdr w:val="none" w:color="auto" w:sz="0" w:space="0"/>
          <w:lang w:val="en-US" w:eastAsia="zh-CN"/>
        </w:rPr>
        <w:t xml:space="preserve">    </w:t>
      </w:r>
      <w:r>
        <w:rPr>
          <w:rFonts w:hint="default" w:ascii="仿宋_GB2312" w:hAnsi="仿宋" w:eastAsia="仿宋_GB2312"/>
          <w:kern w:val="2"/>
          <w:sz w:val="32"/>
          <w:szCs w:val="32"/>
        </w:rPr>
        <w:t>配售型保障性住房通过划拨土地或者存量资产盘活等方式来建设，房屋的价值构成中节约了土地获取成本，对于超大特大以及经济高度发达的一线城市来说，土地获取成本较大，保障性住房可能存在较大的价格吸引力，在其他偏弱的城市，伴随地产下行趋势，存量商品房以及二手房价格可能已经跌至与新建保障性住房成本相持平的水平，保障性住房价格吸引力不强。</w:t>
      </w:r>
    </w:p>
    <w:p>
      <w:pPr>
        <w:pStyle w:val="6"/>
        <w:widowControl/>
        <w:numPr>
          <w:ilvl w:val="0"/>
          <w:numId w:val="0"/>
        </w:numPr>
        <w:spacing w:beforeAutospacing="0" w:afterAutospacing="0" w:line="360" w:lineRule="auto"/>
        <w:ind w:left="638" w:leftChars="304" w:firstLine="0" w:firstLineChars="0"/>
        <w:rPr>
          <w:rFonts w:hint="default" w:ascii="黑体" w:hAnsi="黑体" w:eastAsia="黑体" w:cs="Times New Roman"/>
          <w:kern w:val="2"/>
          <w:sz w:val="32"/>
          <w:szCs w:val="32"/>
          <w:lang w:val="en-US" w:eastAsia="zh-CN" w:bidi="ar-SA"/>
        </w:rPr>
      </w:pPr>
      <w:r>
        <w:rPr>
          <w:rFonts w:hint="default" w:ascii="黑体" w:hAnsi="黑体" w:eastAsia="黑体" w:cs="Times New Roman"/>
          <w:kern w:val="2"/>
          <w:sz w:val="32"/>
          <w:szCs w:val="32"/>
          <w:lang w:val="en-US" w:eastAsia="zh-CN" w:bidi="ar-SA"/>
        </w:rPr>
        <w:t>三、配套政策方面。</w:t>
      </w:r>
    </w:p>
    <w:p>
      <w:pPr>
        <w:pStyle w:val="6"/>
        <w:widowControl/>
        <w:numPr>
          <w:ilvl w:val="0"/>
          <w:numId w:val="0"/>
        </w:numPr>
        <w:spacing w:beforeAutospacing="0" w:afterAutospacing="0" w:line="360" w:lineRule="auto"/>
        <w:ind w:firstLine="640" w:firstLineChars="200"/>
        <w:rPr>
          <w:rFonts w:hint="default" w:ascii="仿宋_GB2312" w:hAnsi="仿宋" w:eastAsia="仿宋_GB2312"/>
          <w:kern w:val="2"/>
          <w:sz w:val="32"/>
          <w:szCs w:val="32"/>
        </w:rPr>
      </w:pPr>
      <w:r>
        <w:rPr>
          <w:rFonts w:hint="default" w:ascii="仿宋_GB2312" w:hAnsi="仿宋" w:eastAsia="仿宋_GB2312"/>
          <w:kern w:val="2"/>
          <w:sz w:val="32"/>
          <w:szCs w:val="32"/>
        </w:rPr>
        <w:t>保障性住房配售价格低于市场行情，购买主体是否具备与商品购买主体同等的市民地位，是影响保障性市场发展的重要因素之一。比如落户政策、学区政策等，如果与商品房具备同等地位，就会挤占商品房产权人的一部分公共资源空间，社会不稳定风险需要采取有效措施防控。需要解决的根本问题应当是让保障房、商品房和长租房都一样可以解决广大人民群众的居住问题，都一样可以享受平等的基本一致的公共服务的权利。</w:t>
      </w:r>
    </w:p>
    <w:p>
      <w:pPr>
        <w:pStyle w:val="6"/>
        <w:widowControl/>
        <w:numPr>
          <w:ilvl w:val="0"/>
          <w:numId w:val="0"/>
        </w:numPr>
        <w:spacing w:beforeAutospacing="0" w:afterAutospacing="0" w:line="360" w:lineRule="auto"/>
        <w:ind w:left="319" w:leftChars="152" w:firstLine="320" w:firstLineChars="100"/>
        <w:rPr>
          <w:rFonts w:hint="default" w:ascii="黑体" w:hAnsi="黑体" w:eastAsia="黑体" w:cs="Times New Roman"/>
          <w:kern w:val="2"/>
          <w:sz w:val="32"/>
          <w:szCs w:val="32"/>
          <w:lang w:val="en-US" w:eastAsia="zh-CN" w:bidi="ar-SA"/>
        </w:rPr>
      </w:pPr>
      <w:r>
        <w:rPr>
          <w:rFonts w:hint="default" w:ascii="黑体" w:hAnsi="黑体" w:eastAsia="黑体" w:cs="Times New Roman"/>
          <w:kern w:val="2"/>
          <w:sz w:val="32"/>
          <w:szCs w:val="32"/>
          <w:lang w:val="en-US" w:eastAsia="zh-CN" w:bidi="ar-SA"/>
        </w:rPr>
        <w:t>四、资金来源方面。</w:t>
      </w:r>
    </w:p>
    <w:p>
      <w:pPr>
        <w:pStyle w:val="6"/>
        <w:widowControl/>
        <w:numPr>
          <w:ilvl w:val="0"/>
          <w:numId w:val="0"/>
        </w:numPr>
        <w:spacing w:beforeAutospacing="0" w:afterAutospacing="0" w:line="360" w:lineRule="auto"/>
        <w:ind w:firstLine="640" w:firstLineChars="200"/>
        <w:rPr>
          <w:rFonts w:hint="default" w:ascii="仿宋_GB2312" w:hAnsi="仿宋" w:eastAsia="仿宋_GB2312"/>
          <w:kern w:val="2"/>
          <w:sz w:val="32"/>
          <w:szCs w:val="32"/>
        </w:rPr>
      </w:pPr>
      <w:r>
        <w:rPr>
          <w:rFonts w:hint="default" w:ascii="仿宋_GB2312" w:hAnsi="仿宋" w:eastAsia="仿宋_GB2312"/>
          <w:kern w:val="2"/>
          <w:sz w:val="32"/>
          <w:szCs w:val="32"/>
        </w:rPr>
        <w:t>保障性住房配套的公共服务设施由政府负责建设，政府财政资金有限，一般选择通过发行专项债解决，专项债项目的收入来源为政府性基金收入或专项收入，配售主体支付的房屋购买价款能否作为专项债收入来源以及公共服务设施与保障房建设主体不一致的情况下如何运用专项债都是需要在实务中逐步落实的细节问题。</w:t>
      </w:r>
      <w:r>
        <w:rPr>
          <w:rFonts w:hint="default" w:ascii="仿宋_GB2312" w:hAnsi="仿宋" w:eastAsia="仿宋_GB2312"/>
          <w:kern w:val="2"/>
          <w:sz w:val="32"/>
          <w:szCs w:val="32"/>
        </w:rPr>
        <w:br w:type="textWrapping"/>
      </w:r>
      <w:r>
        <w:rPr>
          <w:rFonts w:hint="eastAsia" w:ascii="Arial" w:hAnsi="Arial" w:eastAsia="宋体" w:cs="Arial"/>
          <w:color w:val="000000"/>
          <w:spacing w:val="8"/>
          <w:sz w:val="25"/>
          <w:szCs w:val="25"/>
          <w:bdr w:val="none" w:color="auto" w:sz="0" w:space="0"/>
          <w:lang w:val="en-US" w:eastAsia="zh-CN"/>
        </w:rPr>
        <w:t xml:space="preserve">  </w:t>
      </w:r>
      <w:r>
        <w:rPr>
          <w:rFonts w:hint="eastAsia" w:ascii="黑体" w:hAnsi="黑体" w:eastAsia="黑体" w:cs="Times New Roman"/>
          <w:kern w:val="2"/>
          <w:sz w:val="32"/>
          <w:szCs w:val="32"/>
          <w:lang w:val="en-US" w:eastAsia="zh-CN" w:bidi="ar-SA"/>
        </w:rPr>
        <w:t xml:space="preserve">  </w:t>
      </w:r>
      <w:r>
        <w:rPr>
          <w:rFonts w:hint="default" w:ascii="黑体" w:hAnsi="黑体" w:eastAsia="黑体" w:cs="Times New Roman"/>
          <w:kern w:val="2"/>
          <w:sz w:val="32"/>
          <w:szCs w:val="32"/>
          <w:lang w:val="en-US" w:eastAsia="zh-CN" w:bidi="ar-SA"/>
        </w:rPr>
        <w:t>五、与存量商品房关系。</w:t>
      </w:r>
      <w:r>
        <w:rPr>
          <w:rFonts w:hint="default" w:ascii="Arial" w:hAnsi="Arial" w:eastAsia="宋体" w:cs="Arial"/>
          <w:color w:val="000000"/>
          <w:spacing w:val="8"/>
          <w:sz w:val="25"/>
          <w:szCs w:val="25"/>
          <w:bdr w:val="none" w:color="auto" w:sz="0" w:space="0"/>
        </w:rPr>
        <w:br w:type="textWrapping"/>
      </w:r>
      <w:r>
        <w:rPr>
          <w:rFonts w:hint="eastAsia" w:ascii="Arial" w:hAnsi="Arial" w:eastAsia="宋体" w:cs="Arial"/>
          <w:color w:val="000000"/>
          <w:spacing w:val="8"/>
          <w:sz w:val="25"/>
          <w:szCs w:val="25"/>
          <w:bdr w:val="none" w:color="auto" w:sz="0" w:space="0"/>
          <w:lang w:val="en-US" w:eastAsia="zh-CN"/>
        </w:rPr>
        <w:t xml:space="preserve">    </w:t>
      </w:r>
      <w:r>
        <w:rPr>
          <w:rFonts w:hint="default" w:ascii="仿宋_GB2312" w:hAnsi="仿宋" w:eastAsia="仿宋_GB2312"/>
          <w:kern w:val="2"/>
          <w:sz w:val="32"/>
          <w:szCs w:val="32"/>
        </w:rPr>
        <w:t>符合保障房配售资格的基本都是首次购房客户，进一步挤占了存量商品房的刚需市场。如果将存量商品房转为保障性住房，在市场经济体制下，已经承担较大土地获取成本代价的开发商，恐无力也无意愿实施，财政补贴开发商和地方国企存量土地开发建设保障房或许是既能缓解商品房库存压力又能高效推进保障房建设的较好的实施路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rPr>
          <w:rFonts w:ascii="PingFang SC" w:hAnsi="PingFang SC" w:eastAsia="PingFang SC" w:cs="PingFang SC"/>
          <w:b/>
          <w:bCs/>
          <w:color w:val="203D63"/>
          <w:sz w:val="58"/>
          <w:szCs w:val="58"/>
        </w:rPr>
      </w:pPr>
      <w:r>
        <w:rPr>
          <w:rFonts w:hint="default" w:ascii="PingFang SC" w:hAnsi="PingFang SC" w:eastAsia="PingFang SC" w:cs="PingFang SC"/>
          <w:b/>
          <w:bCs/>
          <w:color w:val="203D63"/>
          <w:sz w:val="60"/>
          <w:szCs w:val="60"/>
          <w:bdr w:val="none" w:color="auto" w:sz="0" w:space="0"/>
        </w:rPr>
        <w:t>04 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rFonts w:hint="default" w:ascii="PingFang SC" w:hAnsi="PingFang SC" w:eastAsia="PingFang SC" w:cs="PingFang SC"/>
          <w:b/>
          <w:bCs/>
          <w:color w:val="CE3F3D"/>
          <w:sz w:val="24"/>
          <w:szCs w:val="24"/>
        </w:rPr>
      </w:pPr>
      <w:r>
        <w:rPr>
          <w:rFonts w:hint="default" w:ascii="PingFang SC" w:hAnsi="PingFang SC" w:eastAsia="PingFang SC" w:cs="PingFang SC"/>
          <w:b/>
          <w:bCs/>
          <w:color w:val="CE3F3D"/>
          <w:sz w:val="30"/>
          <w:szCs w:val="30"/>
          <w:bdr w:val="none" w:color="auto" w:sz="0" w:space="0"/>
        </w:rPr>
        <w:t> 保障性住房与存量资产盘活相结合</w:t>
      </w:r>
    </w:p>
    <w:p>
      <w:pPr>
        <w:pStyle w:val="6"/>
        <w:widowControl/>
        <w:numPr>
          <w:ilvl w:val="0"/>
          <w:numId w:val="0"/>
        </w:numPr>
        <w:spacing w:beforeAutospacing="0" w:afterAutospacing="0" w:line="360" w:lineRule="auto"/>
        <w:ind w:left="638" w:leftChars="304" w:firstLine="0" w:firstLineChars="0"/>
        <w:rPr>
          <w:rFonts w:hint="default" w:ascii="仿宋_GB2312" w:hAnsi="仿宋" w:eastAsia="仿宋_GB2312"/>
          <w:kern w:val="2"/>
          <w:sz w:val="32"/>
          <w:szCs w:val="32"/>
        </w:rPr>
      </w:pPr>
      <w:r>
        <w:rPr>
          <w:rFonts w:hint="default" w:ascii="仿宋_GB2312" w:hAnsi="仿宋" w:eastAsia="仿宋_GB2312"/>
          <w:kern w:val="2"/>
          <w:sz w:val="32"/>
          <w:szCs w:val="32"/>
        </w:rPr>
        <w:t>存量资产盘活主要指基础设施资产，具体包括如下：</w:t>
      </w:r>
    </w:p>
    <w:p>
      <w:pPr>
        <w:pStyle w:val="6"/>
        <w:widowControl/>
        <w:numPr>
          <w:ilvl w:val="0"/>
          <w:numId w:val="0"/>
        </w:numPr>
        <w:spacing w:beforeAutospacing="0" w:afterAutospacing="0" w:line="360" w:lineRule="auto"/>
        <w:ind w:firstLine="643" w:firstLineChars="200"/>
        <w:rPr>
          <w:rFonts w:hint="default" w:ascii="仿宋_GB2312" w:hAnsi="仿宋" w:eastAsia="仿宋_GB2312"/>
          <w:kern w:val="2"/>
          <w:sz w:val="32"/>
          <w:szCs w:val="32"/>
        </w:rPr>
      </w:pPr>
      <w:r>
        <w:rPr>
          <w:rFonts w:hint="default" w:ascii="仿宋_GB2312" w:hAnsi="仿宋" w:eastAsia="仿宋_GB2312"/>
          <w:b/>
          <w:bCs/>
          <w:kern w:val="2"/>
          <w:sz w:val="32"/>
          <w:szCs w:val="32"/>
        </w:rPr>
        <w:t>1. 经营性或准确经营性基础设施。</w:t>
      </w:r>
      <w:r>
        <w:rPr>
          <w:rFonts w:hint="default" w:ascii="仿宋_GB2312" w:hAnsi="仿宋" w:eastAsia="仿宋_GB2312"/>
          <w:kern w:val="2"/>
          <w:sz w:val="32"/>
          <w:szCs w:val="32"/>
        </w:rPr>
        <w:t> 交通、水利、清洁能源、保障性租赁住房、水电气热等市政设施；生态环保、产业园区、仓储物流、旅游、新型基础设施等。</w:t>
      </w:r>
    </w:p>
    <w:p>
      <w:pPr>
        <w:pStyle w:val="6"/>
        <w:widowControl/>
        <w:numPr>
          <w:ilvl w:val="0"/>
          <w:numId w:val="0"/>
        </w:numPr>
        <w:spacing w:beforeAutospacing="0" w:afterAutospacing="0" w:line="360" w:lineRule="auto"/>
        <w:ind w:firstLine="643" w:firstLineChars="200"/>
        <w:rPr>
          <w:rFonts w:hint="default" w:ascii="仿宋_GB2312" w:hAnsi="仿宋" w:eastAsia="仿宋_GB2312"/>
          <w:kern w:val="2"/>
          <w:sz w:val="32"/>
          <w:szCs w:val="32"/>
        </w:rPr>
      </w:pPr>
      <w:r>
        <w:rPr>
          <w:rFonts w:hint="default" w:ascii="仿宋_GB2312" w:hAnsi="仿宋" w:eastAsia="仿宋_GB2312"/>
          <w:b/>
          <w:bCs/>
          <w:kern w:val="2"/>
          <w:sz w:val="32"/>
          <w:szCs w:val="32"/>
        </w:rPr>
        <w:t>2. 存量和改扩建有机结合的项目资产。</w:t>
      </w:r>
      <w:r>
        <w:rPr>
          <w:rFonts w:hint="default" w:ascii="仿宋_GB2312" w:hAnsi="仿宋" w:eastAsia="仿宋_GB2312"/>
          <w:kern w:val="2"/>
          <w:sz w:val="32"/>
          <w:szCs w:val="32"/>
        </w:rPr>
        <w:t>综合交通枢纽改造以及地上地下空间综合开发。工业企业退城进园。污水处理厂下沉。地铁上盖物业。公共交通用地综合开发等。</w:t>
      </w:r>
    </w:p>
    <w:p>
      <w:pPr>
        <w:pStyle w:val="6"/>
        <w:widowControl/>
        <w:numPr>
          <w:ilvl w:val="0"/>
          <w:numId w:val="0"/>
        </w:numPr>
        <w:spacing w:beforeAutospacing="0" w:afterAutospacing="0" w:line="360" w:lineRule="auto"/>
        <w:ind w:firstLine="643" w:firstLineChars="200"/>
        <w:rPr>
          <w:rFonts w:hint="default" w:ascii="仿宋_GB2312" w:hAnsi="仿宋" w:eastAsia="仿宋_GB2312"/>
          <w:kern w:val="2"/>
          <w:sz w:val="32"/>
          <w:szCs w:val="32"/>
        </w:rPr>
      </w:pPr>
      <w:r>
        <w:rPr>
          <w:rFonts w:hint="default" w:ascii="仿宋_GB2312" w:hAnsi="仿宋" w:eastAsia="仿宋_GB2312"/>
          <w:b/>
          <w:bCs/>
          <w:kern w:val="2"/>
          <w:sz w:val="32"/>
          <w:szCs w:val="32"/>
        </w:rPr>
        <w:t>3. 长期闲置但具有较大开发利用价值的项目资产。</w:t>
      </w:r>
      <w:r>
        <w:rPr>
          <w:rFonts w:hint="default" w:ascii="仿宋_GB2312" w:hAnsi="仿宋" w:eastAsia="仿宋_GB2312"/>
          <w:kern w:val="2"/>
          <w:sz w:val="32"/>
          <w:szCs w:val="32"/>
        </w:rPr>
        <w:t>老旧厂房、文化体育场馆和闲置土地；老旧小区、街区改造；</w:t>
      </w:r>
      <w:r>
        <w:rPr>
          <w:rFonts w:hint="default" w:ascii="仿宋_GB2312" w:hAnsi="仿宋" w:eastAsia="仿宋_GB2312"/>
          <w:kern w:val="2"/>
          <w:sz w:val="32"/>
          <w:szCs w:val="32"/>
        </w:rPr>
        <w:br w:type="textWrapping"/>
      </w:r>
      <w:r>
        <w:rPr>
          <w:rFonts w:hint="default" w:ascii="仿宋_GB2312" w:hAnsi="仿宋" w:eastAsia="仿宋_GB2312"/>
          <w:kern w:val="2"/>
          <w:sz w:val="32"/>
          <w:szCs w:val="32"/>
        </w:rPr>
        <w:t>国有企业开办的酒店、餐饮、疗养院等非主业资产。存量资产盘活涉及的老旧厂房改造；地铁上盖物业；公共交通用地综合开发；长期闲置的土地、酒店、餐饮、疗养院等房屋资产，可以参照闲置低效工业、商业、办公等非住宅用地（变更用途、无需补缴土地出让金、原划拨地继续保留）的处置方式降低获取成本，经改造、修缮和提升后，具备满足保障性住房居住功能和低于市场销售价格的双重属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rPr>
          <w:rFonts w:ascii="PingFang SC" w:hAnsi="PingFang SC" w:eastAsia="PingFang SC" w:cs="PingFang SC"/>
          <w:b/>
          <w:bCs/>
          <w:color w:val="203D63"/>
          <w:sz w:val="58"/>
          <w:szCs w:val="58"/>
        </w:rPr>
      </w:pPr>
      <w:r>
        <w:rPr>
          <w:rFonts w:hint="default" w:ascii="PingFang SC" w:hAnsi="PingFang SC" w:eastAsia="PingFang SC" w:cs="PingFang SC"/>
          <w:b/>
          <w:bCs/>
          <w:color w:val="203D63"/>
          <w:sz w:val="60"/>
          <w:szCs w:val="60"/>
          <w:bdr w:val="none" w:color="auto" w:sz="0" w:space="0"/>
        </w:rPr>
        <w:t>05 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rFonts w:hint="default" w:ascii="PingFang SC" w:hAnsi="PingFang SC" w:eastAsia="PingFang SC" w:cs="PingFang SC"/>
          <w:b/>
          <w:bCs/>
          <w:color w:val="CE3F3D"/>
          <w:sz w:val="24"/>
          <w:szCs w:val="24"/>
        </w:rPr>
      </w:pPr>
      <w:r>
        <w:rPr>
          <w:rFonts w:hint="default" w:ascii="PingFang SC" w:hAnsi="PingFang SC" w:eastAsia="PingFang SC" w:cs="PingFang SC"/>
          <w:b/>
          <w:bCs/>
          <w:color w:val="CE3F3D"/>
          <w:sz w:val="30"/>
          <w:szCs w:val="30"/>
          <w:bdr w:val="none" w:color="auto" w:sz="0" w:space="0"/>
        </w:rPr>
        <w:t>保障性住房与城中村改造相结合</w:t>
      </w:r>
    </w:p>
    <w:p>
      <w:pPr>
        <w:pStyle w:val="6"/>
        <w:widowControl/>
        <w:numPr>
          <w:ilvl w:val="0"/>
          <w:numId w:val="0"/>
        </w:numPr>
        <w:spacing w:beforeAutospacing="0" w:afterAutospacing="0" w:line="360" w:lineRule="auto"/>
        <w:ind w:firstLine="640" w:firstLineChars="200"/>
        <w:rPr>
          <w:rFonts w:hint="default" w:ascii="仿宋_GB2312" w:hAnsi="仿宋" w:eastAsia="仿宋_GB2312"/>
          <w:kern w:val="2"/>
          <w:sz w:val="32"/>
          <w:szCs w:val="32"/>
        </w:rPr>
      </w:pPr>
      <w:r>
        <w:rPr>
          <w:rFonts w:hint="default" w:ascii="仿宋_GB2312" w:hAnsi="仿宋" w:eastAsia="仿宋_GB2312"/>
          <w:kern w:val="2"/>
          <w:sz w:val="32"/>
          <w:szCs w:val="32"/>
        </w:rPr>
        <w:t>在城中村改造的指导文件中，明确提出：城中村改造地块除安置房外的住宅用地及其建筑规模，原则上应当按一定比例建设保障性住房。城中村改造项目中，保障性住房土地的获取方式可以采取划拨或存量资产盘活等路径，通过保障性住房的销售收入提高城中村改造项目的资金平衡能力和贷款可融性。</w:t>
      </w:r>
      <w:r>
        <w:rPr>
          <w:rFonts w:hint="default" w:ascii="仿宋_GB2312" w:hAnsi="仿宋" w:eastAsia="仿宋_GB2312"/>
          <w:kern w:val="2"/>
          <w:sz w:val="32"/>
          <w:szCs w:val="32"/>
        </w:rPr>
        <w:br w:type="textWrapping"/>
      </w:r>
      <w:r>
        <w:rPr>
          <w:rFonts w:hint="default" w:ascii="仿宋_GB2312" w:hAnsi="仿宋" w:eastAsia="仿宋_GB2312"/>
          <w:kern w:val="2"/>
          <w:sz w:val="32"/>
          <w:szCs w:val="32"/>
        </w:rPr>
        <w:t>但是城中村改造的实施内容中并不包含保障性住房的投资建设，二者之间存在空间上的联系，但是逻辑上是分割的，即城中村改造中主要包括土地一级开发涉及的七通一平、拆迁补偿、安置房建设等内容，保障性住房建设的投入不是必然投入，城中村改造仅限于土地出让之前的环节，保障性住房更倾向于二级开发环节，主要通过市场化销售收入覆盖投资，需要通过由同一主体实施、打包招标、打捆运作等方式，实现城中村与保障性住房的资金循环和流通，整体实现平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rPr>
          <w:rFonts w:ascii="PingFang SC" w:hAnsi="PingFang SC" w:eastAsia="PingFang SC" w:cs="PingFang SC"/>
          <w:b/>
          <w:bCs/>
          <w:color w:val="203D63"/>
          <w:sz w:val="58"/>
          <w:szCs w:val="58"/>
        </w:rPr>
      </w:pPr>
      <w:r>
        <w:rPr>
          <w:rFonts w:hint="default" w:ascii="PingFang SC" w:hAnsi="PingFang SC" w:eastAsia="PingFang SC" w:cs="PingFang SC"/>
          <w:b/>
          <w:bCs/>
          <w:color w:val="203D63"/>
          <w:sz w:val="60"/>
          <w:szCs w:val="60"/>
          <w:bdr w:val="none" w:color="auto" w:sz="0" w:space="0"/>
        </w:rPr>
        <w:t>06 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rFonts w:hint="default" w:ascii="PingFang SC" w:hAnsi="PingFang SC" w:eastAsia="PingFang SC" w:cs="PingFang SC"/>
          <w:b/>
          <w:bCs/>
          <w:color w:val="CE3F3D"/>
          <w:sz w:val="24"/>
          <w:szCs w:val="24"/>
        </w:rPr>
      </w:pPr>
      <w:r>
        <w:rPr>
          <w:rFonts w:hint="default" w:ascii="PingFang SC" w:hAnsi="PingFang SC" w:eastAsia="PingFang SC" w:cs="PingFang SC"/>
          <w:b/>
          <w:bCs/>
          <w:color w:val="CE3F3D"/>
          <w:sz w:val="30"/>
          <w:szCs w:val="30"/>
          <w:bdr w:val="none" w:color="auto" w:sz="0" w:space="0"/>
        </w:rPr>
        <w:t>保障性住房与公共交通用地综合开发相结合</w:t>
      </w:r>
    </w:p>
    <w:p>
      <w:pPr>
        <w:pStyle w:val="6"/>
        <w:widowControl/>
        <w:numPr>
          <w:ilvl w:val="0"/>
          <w:numId w:val="0"/>
        </w:numPr>
        <w:spacing w:beforeAutospacing="0" w:afterAutospacing="0" w:line="360" w:lineRule="auto"/>
        <w:ind w:left="638" w:leftChars="304" w:firstLine="0" w:firstLineChars="0"/>
        <w:rPr>
          <w:rFonts w:hint="default" w:ascii="仿宋_GB2312" w:hAnsi="仿宋" w:eastAsia="仿宋_GB2312"/>
          <w:kern w:val="2"/>
          <w:sz w:val="32"/>
          <w:szCs w:val="32"/>
        </w:rPr>
      </w:pPr>
      <w:r>
        <w:rPr>
          <w:rFonts w:hint="default" w:ascii="仿宋_GB2312" w:hAnsi="仿宋" w:eastAsia="仿宋_GB2312"/>
          <w:kern w:val="2"/>
          <w:sz w:val="32"/>
          <w:szCs w:val="32"/>
        </w:rPr>
        <w:t>公共交通用地综合开发项目实施内容应包括：</w:t>
      </w:r>
    </w:p>
    <w:p>
      <w:pPr>
        <w:pStyle w:val="6"/>
        <w:widowControl/>
        <w:numPr>
          <w:ilvl w:val="0"/>
          <w:numId w:val="0"/>
        </w:numPr>
        <w:spacing w:beforeAutospacing="0" w:afterAutospacing="0" w:line="360" w:lineRule="auto"/>
        <w:ind w:firstLine="640" w:firstLineChars="200"/>
        <w:rPr>
          <w:rFonts w:hint="default" w:ascii="仿宋_GB2312" w:hAnsi="仿宋" w:eastAsia="仿宋_GB2312"/>
          <w:kern w:val="2"/>
          <w:sz w:val="32"/>
          <w:szCs w:val="32"/>
        </w:rPr>
      </w:pPr>
      <w:r>
        <w:rPr>
          <w:rFonts w:hint="default" w:ascii="仿宋_GB2312" w:hAnsi="仿宋" w:eastAsia="仿宋_GB2312"/>
          <w:kern w:val="2"/>
          <w:sz w:val="32"/>
          <w:szCs w:val="32"/>
        </w:rPr>
        <w:t>1.公共汽电车场站充换电基础设施建设；</w:t>
      </w:r>
    </w:p>
    <w:p>
      <w:pPr>
        <w:pStyle w:val="6"/>
        <w:widowControl/>
        <w:numPr>
          <w:ilvl w:val="0"/>
          <w:numId w:val="0"/>
        </w:numPr>
        <w:spacing w:beforeAutospacing="0" w:afterAutospacing="0" w:line="360" w:lineRule="auto"/>
        <w:ind w:firstLine="640" w:firstLineChars="200"/>
        <w:rPr>
          <w:rFonts w:hint="default" w:ascii="仿宋_GB2312" w:hAnsi="仿宋" w:eastAsia="仿宋_GB2312"/>
          <w:kern w:val="2"/>
          <w:sz w:val="32"/>
          <w:szCs w:val="32"/>
        </w:rPr>
      </w:pPr>
      <w:r>
        <w:rPr>
          <w:rFonts w:hint="default" w:ascii="仿宋_GB2312" w:hAnsi="仿宋" w:eastAsia="仿宋_GB2312"/>
          <w:kern w:val="2"/>
          <w:sz w:val="32"/>
          <w:szCs w:val="32"/>
        </w:rPr>
        <w:t>2.城市外围周边轨道交通等站点配套建设驻车换乘（P+R）停车场；</w:t>
      </w:r>
    </w:p>
    <w:p>
      <w:pPr>
        <w:pStyle w:val="6"/>
        <w:widowControl/>
        <w:numPr>
          <w:ilvl w:val="0"/>
          <w:numId w:val="0"/>
        </w:numPr>
        <w:spacing w:beforeAutospacing="0" w:afterAutospacing="0" w:line="360" w:lineRule="auto"/>
        <w:ind w:firstLine="640" w:firstLineChars="200"/>
        <w:rPr>
          <w:rFonts w:hint="default" w:ascii="仿宋_GB2312" w:hAnsi="仿宋" w:eastAsia="仿宋_GB2312"/>
          <w:kern w:val="2"/>
          <w:sz w:val="32"/>
          <w:szCs w:val="32"/>
        </w:rPr>
      </w:pPr>
      <w:r>
        <w:rPr>
          <w:rFonts w:hint="default" w:ascii="仿宋_GB2312" w:hAnsi="仿宋" w:eastAsia="仿宋_GB2312"/>
          <w:kern w:val="2"/>
          <w:sz w:val="32"/>
          <w:szCs w:val="32"/>
        </w:rPr>
        <w:t>3.城市公共交通场站建设与改造；</w:t>
      </w:r>
    </w:p>
    <w:p>
      <w:pPr>
        <w:pStyle w:val="6"/>
        <w:widowControl/>
        <w:numPr>
          <w:ilvl w:val="0"/>
          <w:numId w:val="0"/>
        </w:numPr>
        <w:spacing w:beforeAutospacing="0" w:afterAutospacing="0" w:line="360" w:lineRule="auto"/>
        <w:ind w:firstLine="640" w:firstLineChars="200"/>
        <w:rPr>
          <w:rFonts w:hint="default" w:ascii="仿宋_GB2312" w:hAnsi="仿宋" w:eastAsia="仿宋_GB2312"/>
          <w:kern w:val="2"/>
          <w:sz w:val="32"/>
          <w:szCs w:val="32"/>
        </w:rPr>
      </w:pPr>
      <w:r>
        <w:rPr>
          <w:rFonts w:hint="default" w:ascii="仿宋_GB2312" w:hAnsi="仿宋" w:eastAsia="仿宋_GB2312"/>
          <w:kern w:val="2"/>
          <w:sz w:val="32"/>
          <w:szCs w:val="32"/>
        </w:rPr>
        <w:t>4.车辆购置；</w:t>
      </w:r>
    </w:p>
    <w:p>
      <w:pPr>
        <w:pStyle w:val="6"/>
        <w:widowControl/>
        <w:numPr>
          <w:ilvl w:val="0"/>
          <w:numId w:val="0"/>
        </w:numPr>
        <w:spacing w:beforeAutospacing="0" w:afterAutospacing="0" w:line="360" w:lineRule="auto"/>
        <w:ind w:firstLine="640" w:firstLineChars="200"/>
        <w:rPr>
          <w:rFonts w:hint="default" w:ascii="仿宋_GB2312" w:hAnsi="仿宋" w:eastAsia="仿宋_GB2312"/>
          <w:kern w:val="2"/>
          <w:sz w:val="32"/>
          <w:szCs w:val="32"/>
        </w:rPr>
      </w:pPr>
      <w:r>
        <w:rPr>
          <w:rFonts w:hint="default" w:ascii="仿宋_GB2312" w:hAnsi="仿宋" w:eastAsia="仿宋_GB2312"/>
          <w:kern w:val="2"/>
          <w:sz w:val="32"/>
          <w:szCs w:val="32"/>
        </w:rPr>
        <w:t>5.大型居住区、商业区等附近设置公共汽电车首末站或枢纽站；</w:t>
      </w:r>
    </w:p>
    <w:p>
      <w:pPr>
        <w:pStyle w:val="6"/>
        <w:widowControl/>
        <w:numPr>
          <w:ilvl w:val="0"/>
          <w:numId w:val="0"/>
        </w:numPr>
        <w:spacing w:beforeAutospacing="0" w:afterAutospacing="0" w:line="360" w:lineRule="auto"/>
        <w:ind w:firstLine="640" w:firstLineChars="200"/>
        <w:rPr>
          <w:rFonts w:hint="default" w:ascii="仿宋_GB2312" w:hAnsi="仿宋" w:eastAsia="仿宋_GB2312"/>
          <w:kern w:val="2"/>
          <w:sz w:val="32"/>
          <w:szCs w:val="32"/>
        </w:rPr>
      </w:pPr>
      <w:r>
        <w:rPr>
          <w:rFonts w:hint="default" w:ascii="仿宋_GB2312" w:hAnsi="仿宋" w:eastAsia="仿宋_GB2312"/>
          <w:kern w:val="2"/>
          <w:sz w:val="32"/>
          <w:szCs w:val="32"/>
        </w:rPr>
        <w:t>6.附属和配套商业设施。</w:t>
      </w:r>
    </w:p>
    <w:p>
      <w:pPr>
        <w:pStyle w:val="6"/>
        <w:widowControl/>
        <w:numPr>
          <w:ilvl w:val="0"/>
          <w:numId w:val="0"/>
        </w:numPr>
        <w:spacing w:beforeAutospacing="0" w:afterAutospacing="0" w:line="360" w:lineRule="auto"/>
        <w:ind w:left="638" w:leftChars="304" w:firstLine="0" w:firstLineChars="0"/>
        <w:rPr>
          <w:rFonts w:hint="default" w:ascii="仿宋_GB2312" w:hAnsi="仿宋" w:eastAsia="仿宋_GB2312"/>
          <w:kern w:val="2"/>
          <w:sz w:val="32"/>
          <w:szCs w:val="32"/>
        </w:rPr>
      </w:pPr>
      <w:r>
        <w:rPr>
          <w:rFonts w:hint="default" w:ascii="仿宋_GB2312" w:hAnsi="仿宋" w:eastAsia="仿宋_GB2312"/>
          <w:kern w:val="2"/>
          <w:sz w:val="32"/>
          <w:szCs w:val="32"/>
        </w:rPr>
        <w:t>公共交通用地综合开发项目主要收入来源应包括：</w:t>
      </w:r>
    </w:p>
    <w:p>
      <w:pPr>
        <w:pStyle w:val="6"/>
        <w:widowControl/>
        <w:numPr>
          <w:ilvl w:val="0"/>
          <w:numId w:val="0"/>
        </w:numPr>
        <w:spacing w:beforeAutospacing="0" w:afterAutospacing="0" w:line="360" w:lineRule="auto"/>
        <w:ind w:firstLine="640" w:firstLineChars="200"/>
        <w:rPr>
          <w:rFonts w:hint="default" w:ascii="仿宋_GB2312" w:hAnsi="仿宋" w:eastAsia="仿宋_GB2312"/>
          <w:kern w:val="2"/>
          <w:sz w:val="32"/>
          <w:szCs w:val="32"/>
        </w:rPr>
      </w:pPr>
      <w:r>
        <w:rPr>
          <w:rFonts w:hint="default" w:ascii="仿宋_GB2312" w:hAnsi="仿宋" w:eastAsia="仿宋_GB2312"/>
          <w:kern w:val="2"/>
          <w:sz w:val="32"/>
          <w:szCs w:val="32"/>
        </w:rPr>
        <w:t>1.站台、车身、车厢内等广告业务收入；</w:t>
      </w:r>
    </w:p>
    <w:p>
      <w:pPr>
        <w:pStyle w:val="6"/>
        <w:widowControl/>
        <w:numPr>
          <w:ilvl w:val="0"/>
          <w:numId w:val="0"/>
        </w:numPr>
        <w:spacing w:beforeAutospacing="0" w:afterAutospacing="0" w:line="360" w:lineRule="auto"/>
        <w:ind w:firstLine="640" w:firstLineChars="200"/>
        <w:rPr>
          <w:rFonts w:hint="default" w:ascii="仿宋_GB2312" w:hAnsi="仿宋" w:eastAsia="仿宋_GB2312"/>
          <w:kern w:val="2"/>
          <w:sz w:val="32"/>
          <w:szCs w:val="32"/>
        </w:rPr>
      </w:pPr>
      <w:r>
        <w:rPr>
          <w:rFonts w:hint="default" w:ascii="仿宋_GB2312" w:hAnsi="仿宋" w:eastAsia="仿宋_GB2312"/>
          <w:kern w:val="2"/>
          <w:sz w:val="32"/>
          <w:szCs w:val="32"/>
        </w:rPr>
        <w:t>2.面向社会开放加气、加油、充电、维修等服务的收入；</w:t>
      </w:r>
    </w:p>
    <w:p>
      <w:pPr>
        <w:pStyle w:val="6"/>
        <w:widowControl/>
        <w:numPr>
          <w:ilvl w:val="0"/>
          <w:numId w:val="0"/>
        </w:numPr>
        <w:spacing w:beforeAutospacing="0" w:afterAutospacing="0" w:line="360" w:lineRule="auto"/>
        <w:ind w:firstLine="640" w:firstLineChars="200"/>
        <w:rPr>
          <w:rFonts w:hint="default" w:ascii="仿宋_GB2312" w:hAnsi="仿宋" w:eastAsia="仿宋_GB2312"/>
          <w:kern w:val="2"/>
          <w:sz w:val="32"/>
          <w:szCs w:val="32"/>
        </w:rPr>
      </w:pPr>
      <w:r>
        <w:rPr>
          <w:rFonts w:hint="default" w:ascii="仿宋_GB2312" w:hAnsi="仿宋" w:eastAsia="仿宋_GB2312"/>
          <w:kern w:val="2"/>
          <w:sz w:val="32"/>
          <w:szCs w:val="32"/>
        </w:rPr>
        <w:t>3.停车收入、新能源发电等；</w:t>
      </w:r>
    </w:p>
    <w:p>
      <w:pPr>
        <w:pStyle w:val="6"/>
        <w:widowControl/>
        <w:numPr>
          <w:ilvl w:val="0"/>
          <w:numId w:val="0"/>
        </w:numPr>
        <w:spacing w:beforeAutospacing="0" w:afterAutospacing="0" w:line="360" w:lineRule="auto"/>
        <w:ind w:firstLine="640" w:firstLineChars="200"/>
        <w:rPr>
          <w:rFonts w:hint="default" w:ascii="仿宋_GB2312" w:hAnsi="仿宋" w:eastAsia="仿宋_GB2312"/>
          <w:kern w:val="2"/>
          <w:sz w:val="32"/>
          <w:szCs w:val="32"/>
        </w:rPr>
      </w:pPr>
      <w:r>
        <w:rPr>
          <w:rFonts w:hint="default" w:ascii="仿宋_GB2312" w:hAnsi="仿宋" w:eastAsia="仿宋_GB2312"/>
          <w:kern w:val="2"/>
          <w:sz w:val="32"/>
          <w:szCs w:val="32"/>
        </w:rPr>
        <w:t>4. 政府财政补贴收入。</w:t>
      </w:r>
    </w:p>
    <w:p>
      <w:pPr>
        <w:pStyle w:val="6"/>
        <w:widowControl/>
        <w:numPr>
          <w:ilvl w:val="0"/>
          <w:numId w:val="0"/>
        </w:numPr>
        <w:spacing w:beforeAutospacing="0" w:afterAutospacing="0" w:line="360" w:lineRule="auto"/>
        <w:ind w:firstLine="640" w:firstLineChars="200"/>
        <w:rPr>
          <w:rFonts w:hint="default" w:ascii="仿宋_GB2312" w:hAnsi="仿宋" w:eastAsia="仿宋_GB2312"/>
          <w:kern w:val="2"/>
          <w:sz w:val="32"/>
          <w:szCs w:val="32"/>
        </w:rPr>
      </w:pPr>
      <w:r>
        <w:rPr>
          <w:rFonts w:hint="default" w:ascii="仿宋_GB2312" w:hAnsi="仿宋" w:eastAsia="仿宋_GB2312"/>
          <w:kern w:val="2"/>
          <w:sz w:val="32"/>
          <w:szCs w:val="32"/>
        </w:rPr>
        <w:t>综上，公共交通用地综合开发项目实施范畴较广，收入来源有限，一般公共交通枢纽和场站周边土地掌控在地方国企手中，如能充分运用保障住房的用地政策便利，在满足规划要求的前提下，配建一定的保障性住房，不仅可以提高公共交通用地综合开发项目的可行性，也可以通过二者统筹实施，解决保障性住房建设中应由政府负责建设的，与保障性住房项目直接相关的城市道路和公共交通、通信、供电、供水、供气、供热、污水与垃圾处理等市政基础设施，以及教育、医疗卫生、商业、养老、托幼、文化体育等公共服务设施。避免单独实施保障住房给地方财政带来较大的公共设施建设支出的压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rPr>
          <w:rFonts w:ascii="PingFang SC" w:hAnsi="PingFang SC" w:eastAsia="PingFang SC" w:cs="PingFang SC"/>
          <w:b/>
          <w:bCs/>
          <w:color w:val="203D63"/>
          <w:sz w:val="58"/>
          <w:szCs w:val="58"/>
        </w:rPr>
      </w:pPr>
      <w:r>
        <w:rPr>
          <w:rFonts w:hint="default" w:ascii="PingFang SC" w:hAnsi="PingFang SC" w:eastAsia="PingFang SC" w:cs="PingFang SC"/>
          <w:b/>
          <w:bCs/>
          <w:color w:val="203D63"/>
          <w:sz w:val="60"/>
          <w:szCs w:val="60"/>
          <w:bdr w:val="none" w:color="auto" w:sz="0" w:space="0"/>
        </w:rPr>
        <w:t>07 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rFonts w:hint="default" w:ascii="PingFang SC" w:hAnsi="PingFang SC" w:eastAsia="PingFang SC" w:cs="PingFang SC"/>
          <w:b/>
          <w:bCs/>
          <w:color w:val="CE3F3D"/>
          <w:sz w:val="24"/>
          <w:szCs w:val="24"/>
        </w:rPr>
      </w:pPr>
      <w:r>
        <w:rPr>
          <w:rFonts w:hint="default" w:ascii="PingFang SC" w:hAnsi="PingFang SC" w:eastAsia="PingFang SC" w:cs="PingFang SC"/>
          <w:b/>
          <w:bCs/>
          <w:color w:val="CE3F3D"/>
          <w:sz w:val="30"/>
          <w:szCs w:val="30"/>
          <w:bdr w:val="none" w:color="auto" w:sz="0" w:space="0"/>
        </w:rPr>
        <w:t>保障性住房与片区开发类项目相结合</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 w:eastAsia="仿宋_GB2312" w:cs="Times New Roman"/>
          <w:kern w:val="2"/>
          <w:sz w:val="32"/>
          <w:szCs w:val="32"/>
          <w:lang w:val="en-US" w:eastAsia="zh-CN" w:bidi="ar-SA"/>
        </w:rPr>
      </w:pPr>
      <w:r>
        <w:rPr>
          <w:rFonts w:hint="default" w:ascii="仿宋_GB2312" w:hAnsi="仿宋" w:eastAsia="仿宋_GB2312" w:cs="Times New Roman"/>
          <w:kern w:val="2"/>
          <w:sz w:val="32"/>
          <w:szCs w:val="32"/>
          <w:lang w:val="en-US" w:eastAsia="zh-CN" w:bidi="ar-SA"/>
        </w:rPr>
        <w:t>城市更新、片区开发、综合开发、EOD、TOD等仅仅是一种项目范畴、领域和类别，并不是一种具体可操作的合作模式或实施模式，这些类别的项目区别并不大，拆开来看，都是一些公益类、基础设施、公共服务设施类以及经营性项目的组合和搭配，部分项目可能涉及商住地产、安置房或产业载体开发的环节，大多都需要履行市场化招拍挂程序。笔者将上述项目统一归纳为“区域综合开发项目”，业内习惯称之为片区开发项目。</w:t>
      </w:r>
      <w:r>
        <w:rPr>
          <w:rFonts w:hint="default" w:ascii="仿宋_GB2312" w:hAnsi="仿宋" w:eastAsia="仿宋_GB2312" w:cs="Times New Roman"/>
          <w:kern w:val="2"/>
          <w:sz w:val="32"/>
          <w:szCs w:val="32"/>
          <w:lang w:val="en-US" w:eastAsia="zh-CN" w:bidi="ar-SA"/>
        </w:rPr>
        <w:br w:type="textWrapping"/>
      </w:r>
      <w:r>
        <w:rPr>
          <w:rFonts w:hint="eastAsia" w:ascii="仿宋_GB2312" w:hAnsi="仿宋" w:eastAsia="仿宋_GB2312" w:cs="Times New Roman"/>
          <w:kern w:val="2"/>
          <w:sz w:val="32"/>
          <w:szCs w:val="32"/>
          <w:lang w:val="en-US" w:eastAsia="zh-CN" w:bidi="ar-SA"/>
        </w:rPr>
        <w:t xml:space="preserve">    </w:t>
      </w:r>
      <w:r>
        <w:rPr>
          <w:rFonts w:hint="default" w:ascii="仿宋_GB2312" w:hAnsi="仿宋" w:eastAsia="仿宋_GB2312" w:cs="Times New Roman"/>
          <w:kern w:val="2"/>
          <w:sz w:val="32"/>
          <w:szCs w:val="32"/>
          <w:lang w:val="en-US" w:eastAsia="zh-CN" w:bidi="ar-SA"/>
        </w:rPr>
        <w:t>区域综合开发项目投资内容往往包含土地一级整理、公益性基础设施项目、有一定收入的经营性基础设施项目、市场化的房地产二级开发、产业导入和孵化、城市基础设施的运营等。收入来源主要为区域的土地出让净收益、增量财税收入、非税收入（行政事业收费）以及运营租赁收益、房地产二级开发收益、物业管理收益等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240" w:lineRule="auto"/>
        <w:ind w:left="0" w:right="0" w:firstLine="640" w:firstLineChars="200"/>
        <w:jc w:val="left"/>
        <w:textAlignment w:val="auto"/>
        <w:rPr>
          <w:rFonts w:hint="default" w:ascii="仿宋_GB2312" w:hAnsi="仿宋" w:eastAsia="仿宋_GB2312" w:cs="Times New Roman"/>
          <w:kern w:val="2"/>
          <w:sz w:val="32"/>
          <w:szCs w:val="32"/>
          <w:lang w:val="en-US" w:eastAsia="zh-CN" w:bidi="ar-SA"/>
        </w:rPr>
      </w:pPr>
      <w:r>
        <w:rPr>
          <w:rFonts w:hint="default" w:ascii="仿宋_GB2312" w:hAnsi="仿宋" w:eastAsia="仿宋_GB2312" w:cs="Times New Roman"/>
          <w:kern w:val="2"/>
          <w:sz w:val="32"/>
          <w:szCs w:val="32"/>
          <w:lang w:val="en-US" w:eastAsia="zh-CN" w:bidi="ar-SA"/>
        </w:rPr>
        <w:t>如果片区开发仅仅是一些纯公益性项目和非经营性项目，一定要谨慎参与。无法实现融资落地的片区开发一定不是好的项目，融资落地意味着银行认可项目的交易结构和实施逻辑，项目违规的风险基本可控，也能够通过一些技术操作去顺利实施。能够健康可持续实施下去的片区开发项目一定是包含以下类别子项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line="240" w:lineRule="auto"/>
        <w:ind w:left="0" w:right="0" w:firstLine="640" w:firstLineChars="200"/>
        <w:jc w:val="left"/>
        <w:textAlignment w:val="auto"/>
        <w:rPr>
          <w:rFonts w:hint="eastAsia" w:ascii="仿宋_GB2312" w:hAnsi="仿宋" w:eastAsia="仿宋_GB2312" w:cs="Times New Roman"/>
          <w:kern w:val="2"/>
          <w:sz w:val="32"/>
          <w:szCs w:val="32"/>
          <w:lang w:val="en-US" w:eastAsia="zh-CN" w:bidi="ar-SA"/>
        </w:rPr>
      </w:pPr>
      <w:r>
        <w:rPr>
          <w:rFonts w:hint="default" w:ascii="仿宋_GB2312" w:hAnsi="仿宋" w:eastAsia="仿宋_GB2312" w:cs="Times New Roman"/>
          <w:kern w:val="2"/>
          <w:sz w:val="32"/>
          <w:szCs w:val="32"/>
          <w:lang w:val="en-US" w:eastAsia="zh-CN" w:bidi="ar-SA"/>
        </w:rPr>
        <w:t>包含安置房、保障性住房等安居工程；包含符合特许经营范畴的子项目；包含能够实现市场化收入（使用者付费）的子项目；包含专项债子</w:t>
      </w:r>
      <w:bookmarkStart w:id="0" w:name="_GoBack"/>
      <w:bookmarkEnd w:id="0"/>
      <w:r>
        <w:rPr>
          <w:rFonts w:hint="default" w:ascii="仿宋_GB2312" w:hAnsi="仿宋" w:eastAsia="仿宋_GB2312" w:cs="Times New Roman"/>
          <w:kern w:val="2"/>
          <w:sz w:val="32"/>
          <w:szCs w:val="32"/>
          <w:lang w:val="en-US" w:eastAsia="zh-CN" w:bidi="ar-SA"/>
        </w:rPr>
        <w:t>项目（需要一些技术操作）。</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 w:eastAsia="仿宋_GB2312" w:cs="Times New Roman"/>
          <w:kern w:val="2"/>
          <w:sz w:val="32"/>
          <w:szCs w:val="32"/>
          <w:lang w:val="en-US" w:eastAsia="zh-CN" w:bidi="ar-SA"/>
        </w:rPr>
      </w:pPr>
      <w:r>
        <w:rPr>
          <w:rFonts w:hint="default" w:ascii="仿宋_GB2312" w:hAnsi="仿宋" w:eastAsia="仿宋_GB2312" w:cs="Times New Roman"/>
          <w:kern w:val="2"/>
          <w:sz w:val="32"/>
          <w:szCs w:val="32"/>
          <w:lang w:val="en-US" w:eastAsia="zh-CN" w:bidi="ar-SA"/>
        </w:rPr>
        <w:t>保障性住房具备天然的使用者付费属性和市场化属性，纳入片区开发的实施范畴，对整个项目的资金平衡和收入覆盖投资具有较大积极作用，有助于项目孵化和包装实施。</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ind w:firstLine="542" w:firstLineChars="200"/>
        <w:textAlignment w:val="auto"/>
        <w:rPr>
          <w:rFonts w:hint="eastAsia" w:ascii="Arial" w:hAnsi="Arial" w:eastAsia="宋体" w:cs="Arial"/>
          <w:color w:val="000000"/>
          <w:spacing w:val="8"/>
          <w:sz w:val="25"/>
          <w:szCs w:val="25"/>
          <w:bdr w:val="none" w:color="auto" w:sz="0" w:space="0"/>
          <w:lang w:val="en-US" w:eastAsia="zh-CN"/>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5955453-344E-4B8B-A8B7-C0CC023CE2B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25850CF-E393-46B7-B620-1734555725F6}"/>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F9095D81-FA07-4832-8EE4-2991CAFC4A9C}"/>
  </w:font>
  <w:font w:name="仿宋_GB2312">
    <w:panose1 w:val="02010609030101010101"/>
    <w:charset w:val="86"/>
    <w:family w:val="modern"/>
    <w:pitch w:val="default"/>
    <w:sig w:usb0="00000001" w:usb1="080E0000" w:usb2="00000000" w:usb3="00000000" w:csb0="00040000" w:csb1="00000000"/>
    <w:embedRegular r:id="rId4" w:fontKey="{DDBDB3A4-7379-462A-A847-EA70A7FCF6C4}"/>
  </w:font>
  <w:font w:name="Microsoft YaHei UI">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embedRegular r:id="rId5" w:fontKey="{B1189627-DC6F-4102-A12C-C69786C03985}"/>
  </w:font>
  <w:font w:name="PingFang SC">
    <w:altName w:val="Segoe Print"/>
    <w:panose1 w:val="00000000000000000000"/>
    <w:charset w:val="00"/>
    <w:family w:val="auto"/>
    <w:pitch w:val="default"/>
    <w:sig w:usb0="00000000" w:usb1="00000000" w:usb2="00000000" w:usb3="00000000" w:csb0="00000000" w:csb1="00000000"/>
    <w:embedRegular r:id="rId6" w:fontKey="{0703F300-F1BE-4F19-88AC-D0EC10A4F9DF}"/>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422"/>
        <w:tab w:val="clear" w:pos="4153"/>
        <w:tab w:val="clear" w:pos="8306"/>
      </w:tabs>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YjExNTg5M2UyZTk5NzYxMzg4MDVmZmRlZjQ5ZTIifQ=="/>
  </w:docVars>
  <w:rsids>
    <w:rsidRoot w:val="00510202"/>
    <w:rsid w:val="00016FEE"/>
    <w:rsid w:val="000239FE"/>
    <w:rsid w:val="00130C44"/>
    <w:rsid w:val="001B6820"/>
    <w:rsid w:val="00281AF6"/>
    <w:rsid w:val="003E04A6"/>
    <w:rsid w:val="00510202"/>
    <w:rsid w:val="0056243C"/>
    <w:rsid w:val="005E189F"/>
    <w:rsid w:val="006310D1"/>
    <w:rsid w:val="006571DB"/>
    <w:rsid w:val="00717AED"/>
    <w:rsid w:val="00742CF2"/>
    <w:rsid w:val="00832292"/>
    <w:rsid w:val="00865AC3"/>
    <w:rsid w:val="009227DD"/>
    <w:rsid w:val="009A447F"/>
    <w:rsid w:val="00AC5867"/>
    <w:rsid w:val="00AE30B0"/>
    <w:rsid w:val="00B03E7F"/>
    <w:rsid w:val="00B87AF4"/>
    <w:rsid w:val="00D31E68"/>
    <w:rsid w:val="00D50956"/>
    <w:rsid w:val="00DE00FF"/>
    <w:rsid w:val="00E023D2"/>
    <w:rsid w:val="00EA673C"/>
    <w:rsid w:val="00F10E1B"/>
    <w:rsid w:val="01053E95"/>
    <w:rsid w:val="02072A78"/>
    <w:rsid w:val="02507325"/>
    <w:rsid w:val="03724869"/>
    <w:rsid w:val="03A83E87"/>
    <w:rsid w:val="05292EC9"/>
    <w:rsid w:val="07A76DE7"/>
    <w:rsid w:val="07C338E5"/>
    <w:rsid w:val="08A32A73"/>
    <w:rsid w:val="090B10A0"/>
    <w:rsid w:val="0A6E55AF"/>
    <w:rsid w:val="0B770C6E"/>
    <w:rsid w:val="0CA0181F"/>
    <w:rsid w:val="0DC12892"/>
    <w:rsid w:val="0DE325EB"/>
    <w:rsid w:val="0DFA2E5F"/>
    <w:rsid w:val="0E4212EC"/>
    <w:rsid w:val="0F24282F"/>
    <w:rsid w:val="13DD0D67"/>
    <w:rsid w:val="14327E28"/>
    <w:rsid w:val="181D0DEF"/>
    <w:rsid w:val="18CD45C3"/>
    <w:rsid w:val="1A0809FF"/>
    <w:rsid w:val="1AA26E91"/>
    <w:rsid w:val="1ACD2659"/>
    <w:rsid w:val="1C6F7740"/>
    <w:rsid w:val="1CF71C0F"/>
    <w:rsid w:val="1F6B6B50"/>
    <w:rsid w:val="1FF02946"/>
    <w:rsid w:val="211C7E96"/>
    <w:rsid w:val="214178FD"/>
    <w:rsid w:val="21466CC1"/>
    <w:rsid w:val="21A83F35"/>
    <w:rsid w:val="21D70261"/>
    <w:rsid w:val="242552B4"/>
    <w:rsid w:val="24577437"/>
    <w:rsid w:val="25143477"/>
    <w:rsid w:val="257D111F"/>
    <w:rsid w:val="25CC21E7"/>
    <w:rsid w:val="277F21E5"/>
    <w:rsid w:val="27DA0163"/>
    <w:rsid w:val="280E73C9"/>
    <w:rsid w:val="287A7AF8"/>
    <w:rsid w:val="29BD7D3C"/>
    <w:rsid w:val="29C9048F"/>
    <w:rsid w:val="29E928DF"/>
    <w:rsid w:val="2A61691A"/>
    <w:rsid w:val="2B54022C"/>
    <w:rsid w:val="2BC03B14"/>
    <w:rsid w:val="2D0B0DBF"/>
    <w:rsid w:val="2E254102"/>
    <w:rsid w:val="2E3A195C"/>
    <w:rsid w:val="2EDF0755"/>
    <w:rsid w:val="2F925FB0"/>
    <w:rsid w:val="311C54C8"/>
    <w:rsid w:val="34DC0775"/>
    <w:rsid w:val="35142B05"/>
    <w:rsid w:val="37021484"/>
    <w:rsid w:val="37EA2644"/>
    <w:rsid w:val="3B082DE1"/>
    <w:rsid w:val="3D567E34"/>
    <w:rsid w:val="3D70539A"/>
    <w:rsid w:val="3DEB2C72"/>
    <w:rsid w:val="3E375EB7"/>
    <w:rsid w:val="3ED837BA"/>
    <w:rsid w:val="3F853A01"/>
    <w:rsid w:val="40532D51"/>
    <w:rsid w:val="40907B01"/>
    <w:rsid w:val="40A91A57"/>
    <w:rsid w:val="40DA40C7"/>
    <w:rsid w:val="4194717D"/>
    <w:rsid w:val="419C7ECA"/>
    <w:rsid w:val="429C278D"/>
    <w:rsid w:val="433104F4"/>
    <w:rsid w:val="434A043B"/>
    <w:rsid w:val="43803E5D"/>
    <w:rsid w:val="44DF2E05"/>
    <w:rsid w:val="46032B23"/>
    <w:rsid w:val="46CE1383"/>
    <w:rsid w:val="4DA80E90"/>
    <w:rsid w:val="4DD0778F"/>
    <w:rsid w:val="4E3B72FE"/>
    <w:rsid w:val="53374CF2"/>
    <w:rsid w:val="53AD7346"/>
    <w:rsid w:val="540B3D5F"/>
    <w:rsid w:val="54120B01"/>
    <w:rsid w:val="54F46459"/>
    <w:rsid w:val="55FF3307"/>
    <w:rsid w:val="572B0FCF"/>
    <w:rsid w:val="57997FA8"/>
    <w:rsid w:val="57BE4AFC"/>
    <w:rsid w:val="57D93560"/>
    <w:rsid w:val="594C5209"/>
    <w:rsid w:val="59B6289E"/>
    <w:rsid w:val="5AE83CAC"/>
    <w:rsid w:val="5C5D2B35"/>
    <w:rsid w:val="5C734107"/>
    <w:rsid w:val="605E50CE"/>
    <w:rsid w:val="60C07ACB"/>
    <w:rsid w:val="646A5DEF"/>
    <w:rsid w:val="64A21A2D"/>
    <w:rsid w:val="69482477"/>
    <w:rsid w:val="6A8A71EB"/>
    <w:rsid w:val="6AC02C0D"/>
    <w:rsid w:val="6E3671E2"/>
    <w:rsid w:val="71CF3736"/>
    <w:rsid w:val="72407F9E"/>
    <w:rsid w:val="73357F10"/>
    <w:rsid w:val="73407A36"/>
    <w:rsid w:val="73C3551C"/>
    <w:rsid w:val="74A0585D"/>
    <w:rsid w:val="776B3F01"/>
    <w:rsid w:val="779D7E32"/>
    <w:rsid w:val="789E20B4"/>
    <w:rsid w:val="789E3E62"/>
    <w:rsid w:val="78D72AD6"/>
    <w:rsid w:val="78F63C9E"/>
    <w:rsid w:val="79034CE1"/>
    <w:rsid w:val="79314CD6"/>
    <w:rsid w:val="79D659A9"/>
    <w:rsid w:val="7A4A6FE1"/>
    <w:rsid w:val="7A5659F6"/>
    <w:rsid w:val="7D2D1C58"/>
    <w:rsid w:val="7D9B3066"/>
    <w:rsid w:val="7DA43CC8"/>
    <w:rsid w:val="7EE527EB"/>
    <w:rsid w:val="7F515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2"/>
    <w:autoRedefine/>
    <w:qFormat/>
    <w:uiPriority w:val="9"/>
    <w:pPr>
      <w:keepNext/>
      <w:keepLines/>
      <w:spacing w:line="600" w:lineRule="exact"/>
      <w:jc w:val="center"/>
      <w:outlineLvl w:val="0"/>
    </w:pPr>
    <w:rPr>
      <w:rFonts w:ascii="方正小标宋简体" w:hAnsi="方正小标宋简体" w:eastAsia="方正小标宋简体"/>
      <w:kern w:val="44"/>
      <w:sz w:val="44"/>
      <w:szCs w:val="22"/>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spacing w:line="560" w:lineRule="exact"/>
      <w:ind w:firstLine="420" w:firstLineChars="200"/>
    </w:pPr>
    <w:rPr>
      <w:rFonts w:ascii="仿宋" w:hAnsi="仿宋" w:eastAsia="仿宋"/>
      <w:sz w:val="32"/>
      <w:szCs w:val="22"/>
    </w:rPr>
  </w:style>
  <w:style w:type="paragraph" w:styleId="4">
    <w:name w:val="footer"/>
    <w:basedOn w:val="1"/>
    <w:link w:val="11"/>
    <w:autoRedefine/>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rFonts w:cs="Times New Roman"/>
      <w:kern w:val="0"/>
      <w:sz w:val="24"/>
    </w:rPr>
  </w:style>
  <w:style w:type="character" w:styleId="9">
    <w:name w:val="Strong"/>
    <w:basedOn w:val="8"/>
    <w:autoRedefine/>
    <w:qFormat/>
    <w:uiPriority w:val="0"/>
    <w:rPr>
      <w:b/>
    </w:rPr>
  </w:style>
  <w:style w:type="character" w:customStyle="1" w:styleId="10">
    <w:name w:val="页眉 字符"/>
    <w:basedOn w:val="8"/>
    <w:link w:val="5"/>
    <w:autoRedefine/>
    <w:qFormat/>
    <w:uiPriority w:val="0"/>
    <w:rPr>
      <w:rFonts w:asciiTheme="minorHAnsi" w:hAnsiTheme="minorHAnsi" w:eastAsiaTheme="minorEastAsia" w:cstheme="minorBidi"/>
      <w:kern w:val="2"/>
      <w:sz w:val="18"/>
      <w:szCs w:val="18"/>
    </w:rPr>
  </w:style>
  <w:style w:type="character" w:customStyle="1" w:styleId="11">
    <w:name w:val="页脚 字符"/>
    <w:basedOn w:val="8"/>
    <w:link w:val="4"/>
    <w:qFormat/>
    <w:uiPriority w:val="0"/>
    <w:rPr>
      <w:rFonts w:asciiTheme="minorHAnsi" w:hAnsiTheme="minorHAnsi" w:eastAsiaTheme="minorEastAsia" w:cstheme="minorBidi"/>
      <w:kern w:val="2"/>
      <w:sz w:val="18"/>
      <w:szCs w:val="18"/>
    </w:rPr>
  </w:style>
  <w:style w:type="character" w:customStyle="1" w:styleId="12">
    <w:name w:val="标题 1 字符"/>
    <w:basedOn w:val="8"/>
    <w:link w:val="2"/>
    <w:autoRedefine/>
    <w:qFormat/>
    <w:uiPriority w:val="9"/>
    <w:rPr>
      <w:rFonts w:ascii="方正小标宋简体" w:hAnsi="方正小标宋简体" w:eastAsia="方正小标宋简体" w:cstheme="minorBidi"/>
      <w:kern w:val="44"/>
      <w:sz w:val="4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1511</Words>
  <Characters>8617</Characters>
  <Lines>71</Lines>
  <Paragraphs>20</Paragraphs>
  <TotalTime>50</TotalTime>
  <ScaleCrop>false</ScaleCrop>
  <LinksUpToDate>false</LinksUpToDate>
  <CharactersWithSpaces>10108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2022-09-17T08:39:00Z</dcterms:created>
  <dc:creator>97141</dc:creator>
  <cp:lastModifiedBy>霓小熊</cp:lastModifiedBy>
  <dcterms:modified xsi:type="dcterms:W3CDTF">2024-01-03T02:07:32Z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5D6E9A0686614053913E05709D736599</vt:lpwstr>
  </property>
</Properties>
</file>